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5247" w14:textId="77777777" w:rsidR="00BB5F65" w:rsidRDefault="00847348" w:rsidP="003521C5">
      <w:pPr>
        <w:pStyle w:val="Title"/>
        <w:jc w:val="center"/>
      </w:pPr>
      <w:r w:rsidRPr="00847348">
        <w:t>P016 - External Relationships</w:t>
      </w:r>
    </w:p>
    <w:p w14:paraId="77B55112"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48AD4884"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1F4133C"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B92834C"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EC3AB52"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03900F72" w14:textId="77777777" w:rsidR="001257FB" w:rsidRPr="001257FB" w:rsidRDefault="001257FB" w:rsidP="003521C5">
            <w:pPr>
              <w:pStyle w:val="FCNTable"/>
            </w:pPr>
            <w:r w:rsidRPr="001257FB">
              <w:t>Next review date</w:t>
            </w:r>
          </w:p>
        </w:tc>
      </w:tr>
      <w:tr w:rsidR="001257FB" w:rsidRPr="001257FB" w14:paraId="5FA508EB"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7C6A0DD" w14:textId="77777777" w:rsidR="001257FB" w:rsidRDefault="001257FB" w:rsidP="003521C5">
            <w:pPr>
              <w:pStyle w:val="FCNTable"/>
            </w:pPr>
            <w:r w:rsidRPr="001257FB">
              <w:t>1.0</w:t>
            </w:r>
          </w:p>
          <w:p w14:paraId="3AC3C5B6" w14:textId="08D60594" w:rsidR="001B5D4B" w:rsidRPr="001257FB" w:rsidRDefault="001B5D4B" w:rsidP="003521C5">
            <w:pPr>
              <w:pStyle w:val="FCNTable"/>
            </w:pPr>
            <w:r>
              <w:t>1.1</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505D0CFF" w14:textId="77777777" w:rsidR="001257FB" w:rsidRDefault="001B5D4B" w:rsidP="003521C5">
            <w:pPr>
              <w:pStyle w:val="FCNTable"/>
            </w:pPr>
            <w:r>
              <w:t>01/09/2019</w:t>
            </w:r>
          </w:p>
          <w:p w14:paraId="4D57A90A" w14:textId="77777777" w:rsidR="001B5D4B" w:rsidRDefault="001B5D4B" w:rsidP="003521C5">
            <w:pPr>
              <w:pStyle w:val="FCNTable"/>
            </w:pPr>
            <w:r>
              <w:t>07/05/2019</w:t>
            </w:r>
          </w:p>
          <w:p w14:paraId="03849982" w14:textId="049180A0" w:rsidR="00DB4317" w:rsidRPr="001257FB" w:rsidRDefault="00DB4317" w:rsidP="003521C5">
            <w:pPr>
              <w:pStyle w:val="FCNTable"/>
            </w:pPr>
            <w:r>
              <w:t>14/05/2020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1F39AE3A" w14:textId="77777777" w:rsidR="001257FB" w:rsidRDefault="001257FB" w:rsidP="003521C5">
            <w:pPr>
              <w:pStyle w:val="FCNTable"/>
            </w:pPr>
          </w:p>
          <w:p w14:paraId="6B18F327" w14:textId="77777777" w:rsidR="001B5D4B" w:rsidRDefault="001B5D4B" w:rsidP="003521C5">
            <w:pPr>
              <w:pStyle w:val="FCNTable"/>
            </w:pPr>
            <w:r>
              <w:t>Updated to include other stakeholders</w:t>
            </w:r>
          </w:p>
          <w:p w14:paraId="1101C128" w14:textId="682A9C41" w:rsidR="00DB4317" w:rsidRPr="001257FB" w:rsidRDefault="00DB4317" w:rsidP="003521C5">
            <w:pPr>
              <w:pStyle w:val="FCNTable"/>
            </w:pPr>
            <w:r>
              <w:t>Review</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10FC269E" w14:textId="4817E799" w:rsidR="001257FB" w:rsidRDefault="001257FB" w:rsidP="003521C5">
            <w:pPr>
              <w:pStyle w:val="FCNTable"/>
            </w:pPr>
            <w:r w:rsidRPr="001257FB">
              <w:t>01/09/2017</w:t>
            </w:r>
          </w:p>
          <w:p w14:paraId="7203EC4A" w14:textId="77777777" w:rsidR="001B5D4B" w:rsidRDefault="001B5D4B" w:rsidP="001B5D4B">
            <w:pPr>
              <w:pStyle w:val="FCNTable"/>
            </w:pPr>
            <w:r>
              <w:t>01/05/2020</w:t>
            </w:r>
          </w:p>
          <w:p w14:paraId="0B5BE677" w14:textId="0E602806" w:rsidR="00DB4317" w:rsidRPr="001257FB" w:rsidRDefault="00DB4317" w:rsidP="001B5D4B">
            <w:pPr>
              <w:pStyle w:val="FCNTable"/>
            </w:pPr>
            <w:r>
              <w:t>14/05/2022</w:t>
            </w:r>
          </w:p>
        </w:tc>
      </w:tr>
    </w:tbl>
    <w:p w14:paraId="59540738"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02796FD5"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07A5E61C"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0064CFCB"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07C3DF93" w14:textId="77777777" w:rsidR="001257FB" w:rsidRPr="001257FB" w:rsidRDefault="001257FB" w:rsidP="003521C5">
            <w:pPr>
              <w:pStyle w:val="FCNTable"/>
            </w:pPr>
            <w:r w:rsidRPr="001257FB">
              <w:t>All staff</w:t>
            </w:r>
          </w:p>
        </w:tc>
      </w:tr>
    </w:tbl>
    <w:p w14:paraId="36844A7F" w14:textId="77777777" w:rsidR="002267B6" w:rsidRDefault="002267B6" w:rsidP="002267B6">
      <w:pPr>
        <w:rPr>
          <w:lang w:eastAsia="en-AU"/>
        </w:rPr>
      </w:pPr>
    </w:p>
    <w:p w14:paraId="0C2AB7B8" w14:textId="77777777" w:rsidR="00847348" w:rsidRPr="00EE1D22" w:rsidRDefault="00847348" w:rsidP="00847348">
      <w:pPr>
        <w:pStyle w:val="Heading1"/>
        <w:rPr>
          <w:lang w:eastAsia="en-AU"/>
        </w:rPr>
      </w:pPr>
      <w:r w:rsidRPr="00EE1D22">
        <w:rPr>
          <w:lang w:eastAsia="en-AU"/>
        </w:rPr>
        <w:t>PURPOSE</w:t>
      </w:r>
    </w:p>
    <w:p w14:paraId="35AD3FCA" w14:textId="4B9FBF41" w:rsidR="00375446" w:rsidRDefault="00375446" w:rsidP="00375446">
      <w:pPr>
        <w:pStyle w:val="nada-body-bullets"/>
        <w:numPr>
          <w:ilvl w:val="0"/>
          <w:numId w:val="0"/>
        </w:numPr>
        <w:tabs>
          <w:tab w:val="clear" w:pos="1134"/>
          <w:tab w:val="left" w:pos="851"/>
        </w:tabs>
        <w:spacing w:after="0" w:line="276" w:lineRule="auto"/>
        <w:jc w:val="both"/>
        <w:rPr>
          <w:rFonts w:ascii="Arial" w:hAnsi="Arial" w:cs="Arial"/>
          <w:sz w:val="22"/>
          <w:szCs w:val="22"/>
        </w:rPr>
      </w:pPr>
      <w:r w:rsidRPr="00854B22">
        <w:rPr>
          <w:rFonts w:ascii="Arial" w:hAnsi="Arial" w:cs="Arial"/>
          <w:sz w:val="22"/>
          <w:szCs w:val="22"/>
        </w:rPr>
        <w:t xml:space="preserve">The purpose of this policy is to provide guidance to </w:t>
      </w:r>
      <w:r>
        <w:rPr>
          <w:rFonts w:ascii="Arial" w:hAnsi="Arial" w:cs="Arial"/>
          <w:b/>
          <w:sz w:val="22"/>
          <w:szCs w:val="22"/>
        </w:rPr>
        <w:t>First Call Nursing</w:t>
      </w:r>
      <w:r w:rsidRPr="00854B22">
        <w:rPr>
          <w:rFonts w:ascii="Arial" w:hAnsi="Arial" w:cs="Arial"/>
          <w:sz w:val="22"/>
          <w:szCs w:val="22"/>
        </w:rPr>
        <w:t xml:space="preserve"> in identifying, developing and maintaining relationships with external individuals, groups</w:t>
      </w:r>
      <w:r>
        <w:rPr>
          <w:rFonts w:ascii="Arial" w:hAnsi="Arial" w:cs="Arial"/>
          <w:sz w:val="22"/>
          <w:szCs w:val="22"/>
        </w:rPr>
        <w:t>, other service providers</w:t>
      </w:r>
      <w:r w:rsidRPr="00854B22">
        <w:rPr>
          <w:rFonts w:ascii="Arial" w:hAnsi="Arial" w:cs="Arial"/>
          <w:sz w:val="22"/>
          <w:szCs w:val="22"/>
        </w:rPr>
        <w:t xml:space="preserve"> and </w:t>
      </w:r>
      <w:r>
        <w:rPr>
          <w:rFonts w:ascii="Arial" w:hAnsi="Arial" w:cs="Arial"/>
          <w:sz w:val="22"/>
          <w:szCs w:val="22"/>
        </w:rPr>
        <w:t>organisations</w:t>
      </w:r>
      <w:r w:rsidRPr="00854B22">
        <w:rPr>
          <w:rFonts w:ascii="Arial" w:hAnsi="Arial" w:cs="Arial"/>
          <w:sz w:val="22"/>
          <w:szCs w:val="22"/>
        </w:rPr>
        <w:t xml:space="preserve"> to ensure a consistent approach that supports the </w:t>
      </w:r>
      <w:r>
        <w:rPr>
          <w:rFonts w:ascii="Arial" w:hAnsi="Arial" w:cs="Arial"/>
          <w:sz w:val="22"/>
          <w:szCs w:val="22"/>
        </w:rPr>
        <w:t xml:space="preserve">company </w:t>
      </w:r>
      <w:r w:rsidRPr="00854B22">
        <w:rPr>
          <w:rFonts w:ascii="Arial" w:hAnsi="Arial" w:cs="Arial"/>
          <w:sz w:val="22"/>
          <w:szCs w:val="22"/>
        </w:rPr>
        <w:t>and its partners to more effectively meet their respective strategic objectives.</w:t>
      </w:r>
    </w:p>
    <w:p w14:paraId="4A78F355" w14:textId="77777777" w:rsidR="00375446" w:rsidRDefault="00375446" w:rsidP="00375446">
      <w:pPr>
        <w:pStyle w:val="nada-body-bullets"/>
        <w:numPr>
          <w:ilvl w:val="0"/>
          <w:numId w:val="0"/>
        </w:numPr>
        <w:tabs>
          <w:tab w:val="clear" w:pos="1134"/>
          <w:tab w:val="left" w:pos="851"/>
        </w:tabs>
        <w:spacing w:after="0" w:line="276" w:lineRule="auto"/>
        <w:jc w:val="both"/>
        <w:rPr>
          <w:rFonts w:ascii="Arial" w:hAnsi="Arial" w:cs="Arial"/>
          <w:sz w:val="22"/>
          <w:szCs w:val="22"/>
        </w:rPr>
      </w:pPr>
    </w:p>
    <w:p w14:paraId="605D0EB9" w14:textId="3CEE80DD" w:rsidR="00375446" w:rsidRPr="00854B22" w:rsidRDefault="00375446" w:rsidP="00375446">
      <w:pPr>
        <w:pStyle w:val="nada-subheading"/>
        <w:tabs>
          <w:tab w:val="clear" w:pos="1134"/>
          <w:tab w:val="left" w:pos="709"/>
        </w:tabs>
        <w:spacing w:after="0" w:line="276" w:lineRule="auto"/>
        <w:jc w:val="both"/>
        <w:rPr>
          <w:rFonts w:ascii="Arial" w:hAnsi="Arial" w:cs="Arial"/>
          <w:b w:val="0"/>
          <w:color w:val="auto"/>
          <w:sz w:val="22"/>
          <w:szCs w:val="22"/>
        </w:rPr>
      </w:pPr>
      <w:r w:rsidRPr="00CA5E99">
        <w:rPr>
          <w:rFonts w:ascii="Arial" w:hAnsi="Arial" w:cs="Arial"/>
          <w:b w:val="0"/>
          <w:color w:val="auto"/>
          <w:sz w:val="22"/>
          <w:szCs w:val="22"/>
        </w:rPr>
        <w:t>First Call Nursing</w:t>
      </w:r>
      <w:r>
        <w:rPr>
          <w:rFonts w:ascii="Arial" w:hAnsi="Arial" w:cs="Arial"/>
          <w:b w:val="0"/>
          <w:sz w:val="22"/>
          <w:szCs w:val="22"/>
        </w:rPr>
        <w:t xml:space="preserve"> </w:t>
      </w:r>
      <w:r w:rsidRPr="00854B22">
        <w:rPr>
          <w:rFonts w:ascii="Arial" w:hAnsi="Arial" w:cs="Arial"/>
          <w:b w:val="0"/>
          <w:color w:val="auto"/>
          <w:sz w:val="22"/>
          <w:szCs w:val="22"/>
        </w:rPr>
        <w:t xml:space="preserve">maintains a range of relationships, both formal and informal, that benefit the </w:t>
      </w:r>
      <w:r w:rsidR="001B5D4B">
        <w:rPr>
          <w:rFonts w:ascii="Arial" w:hAnsi="Arial" w:cs="Arial"/>
          <w:b w:val="0"/>
          <w:color w:val="auto"/>
          <w:sz w:val="22"/>
          <w:szCs w:val="22"/>
        </w:rPr>
        <w:t>company</w:t>
      </w:r>
      <w:r w:rsidRPr="00854B22">
        <w:rPr>
          <w:rFonts w:ascii="Arial" w:hAnsi="Arial" w:cs="Arial"/>
          <w:b w:val="0"/>
          <w:color w:val="auto"/>
          <w:sz w:val="22"/>
          <w:szCs w:val="22"/>
        </w:rPr>
        <w:t>, clients and the sectors of which it is a part.</w:t>
      </w:r>
    </w:p>
    <w:p w14:paraId="6D0AAF90" w14:textId="77777777" w:rsidR="00375446" w:rsidRPr="00854B22" w:rsidRDefault="00375446" w:rsidP="00375446">
      <w:pPr>
        <w:pStyle w:val="nada-subheading"/>
        <w:tabs>
          <w:tab w:val="clear" w:pos="1134"/>
          <w:tab w:val="left" w:pos="709"/>
        </w:tabs>
        <w:spacing w:after="0" w:line="276" w:lineRule="auto"/>
        <w:jc w:val="both"/>
        <w:rPr>
          <w:rFonts w:ascii="Arial" w:hAnsi="Arial" w:cs="Arial"/>
          <w:b w:val="0"/>
          <w:color w:val="auto"/>
          <w:sz w:val="22"/>
          <w:szCs w:val="22"/>
        </w:rPr>
      </w:pPr>
    </w:p>
    <w:p w14:paraId="4DFE17C8" w14:textId="1E96292E" w:rsidR="00375446" w:rsidRDefault="00375446" w:rsidP="00375446">
      <w:pPr>
        <w:pStyle w:val="nada-subheading"/>
        <w:tabs>
          <w:tab w:val="clear" w:pos="1134"/>
          <w:tab w:val="left" w:pos="709"/>
        </w:tabs>
        <w:spacing w:after="0" w:line="276" w:lineRule="auto"/>
        <w:jc w:val="both"/>
        <w:rPr>
          <w:rFonts w:ascii="Arial" w:hAnsi="Arial" w:cs="Arial"/>
          <w:b w:val="0"/>
          <w:color w:val="auto"/>
          <w:sz w:val="22"/>
          <w:szCs w:val="22"/>
        </w:rPr>
      </w:pPr>
      <w:r w:rsidRPr="00854B22">
        <w:rPr>
          <w:rFonts w:ascii="Arial" w:hAnsi="Arial" w:cs="Arial"/>
          <w:b w:val="0"/>
          <w:color w:val="auto"/>
          <w:sz w:val="22"/>
          <w:szCs w:val="22"/>
        </w:rPr>
        <w:t xml:space="preserve">Formal relationships are governed by an agreed set of specifications (i.e. service level agreement, funding and </w:t>
      </w:r>
      <w:r>
        <w:rPr>
          <w:rFonts w:ascii="Arial" w:hAnsi="Arial" w:cs="Arial"/>
          <w:b w:val="0"/>
          <w:color w:val="auto"/>
          <w:sz w:val="22"/>
          <w:szCs w:val="22"/>
        </w:rPr>
        <w:t xml:space="preserve">client service </w:t>
      </w:r>
      <w:r w:rsidRPr="00854B22">
        <w:rPr>
          <w:rFonts w:ascii="Arial" w:hAnsi="Arial" w:cs="Arial"/>
          <w:b w:val="0"/>
          <w:color w:val="auto"/>
          <w:sz w:val="22"/>
          <w:szCs w:val="22"/>
        </w:rPr>
        <w:t xml:space="preserve">agreement, contract). </w:t>
      </w:r>
    </w:p>
    <w:p w14:paraId="01B67FF7" w14:textId="265CBB20" w:rsidR="00375446" w:rsidRDefault="00375446" w:rsidP="00375446">
      <w:pPr>
        <w:pStyle w:val="nada-subheading"/>
        <w:tabs>
          <w:tab w:val="clear" w:pos="1134"/>
          <w:tab w:val="left" w:pos="709"/>
        </w:tabs>
        <w:spacing w:after="0" w:line="276" w:lineRule="auto"/>
        <w:jc w:val="both"/>
        <w:rPr>
          <w:rFonts w:ascii="Arial" w:hAnsi="Arial" w:cs="Arial"/>
          <w:b w:val="0"/>
          <w:color w:val="auto"/>
          <w:sz w:val="22"/>
          <w:szCs w:val="22"/>
        </w:rPr>
      </w:pPr>
    </w:p>
    <w:p w14:paraId="27343E4E" w14:textId="77777777" w:rsidR="00817DA2" w:rsidRPr="00854B22" w:rsidRDefault="00817DA2" w:rsidP="00817DA2">
      <w:pPr>
        <w:pStyle w:val="nada-body-bullets"/>
        <w:numPr>
          <w:ilvl w:val="0"/>
          <w:numId w:val="0"/>
        </w:numPr>
        <w:spacing w:after="0" w:line="276" w:lineRule="auto"/>
        <w:jc w:val="both"/>
        <w:rPr>
          <w:rFonts w:ascii="Arial" w:hAnsi="Arial" w:cs="Arial"/>
          <w:sz w:val="22"/>
          <w:szCs w:val="22"/>
        </w:rPr>
      </w:pPr>
      <w:r w:rsidRPr="00854B22">
        <w:rPr>
          <w:rFonts w:ascii="Arial" w:hAnsi="Arial" w:cs="Arial"/>
          <w:sz w:val="22"/>
          <w:szCs w:val="22"/>
        </w:rPr>
        <w:t xml:space="preserve">Relationship expectations will be in writing, where possible. Systems are in place to ensure relationships entered are relevant, purposeful and time-framed. </w:t>
      </w:r>
    </w:p>
    <w:p w14:paraId="1A46EDB6" w14:textId="77777777" w:rsidR="00817DA2" w:rsidRPr="00854B22" w:rsidRDefault="00817DA2" w:rsidP="00817DA2">
      <w:pPr>
        <w:pStyle w:val="nada-body-bullets"/>
        <w:numPr>
          <w:ilvl w:val="0"/>
          <w:numId w:val="0"/>
        </w:numPr>
        <w:spacing w:after="0" w:line="276" w:lineRule="auto"/>
        <w:jc w:val="both"/>
        <w:rPr>
          <w:rFonts w:ascii="Arial" w:hAnsi="Arial" w:cs="Arial"/>
          <w:sz w:val="22"/>
          <w:szCs w:val="22"/>
        </w:rPr>
      </w:pPr>
    </w:p>
    <w:p w14:paraId="2E1A1B83" w14:textId="77777777" w:rsidR="00817DA2" w:rsidRPr="00854B22" w:rsidRDefault="00817DA2" w:rsidP="00817DA2">
      <w:pPr>
        <w:pStyle w:val="nada-body-bullets"/>
        <w:numPr>
          <w:ilvl w:val="0"/>
          <w:numId w:val="0"/>
        </w:numPr>
        <w:spacing w:after="0" w:line="276" w:lineRule="auto"/>
        <w:jc w:val="both"/>
        <w:rPr>
          <w:rFonts w:ascii="Arial" w:hAnsi="Arial" w:cs="Arial"/>
          <w:sz w:val="22"/>
          <w:szCs w:val="22"/>
        </w:rPr>
      </w:pPr>
      <w:r w:rsidRPr="00854B22">
        <w:rPr>
          <w:rFonts w:ascii="Arial" w:hAnsi="Arial" w:cs="Arial"/>
          <w:sz w:val="22"/>
          <w:szCs w:val="22"/>
        </w:rPr>
        <w:t xml:space="preserve">Relationships change over time as do the expectations of those involved in the relationship. Therefore, regular review of the purpose of the relationship and how the relationship functions will ensure invested time and effort are productive and rewarding.  </w:t>
      </w:r>
    </w:p>
    <w:p w14:paraId="4E838939" w14:textId="77777777" w:rsidR="00817DA2" w:rsidRPr="00854B22" w:rsidRDefault="00817DA2" w:rsidP="00375446">
      <w:pPr>
        <w:pStyle w:val="nada-subheading"/>
        <w:tabs>
          <w:tab w:val="clear" w:pos="1134"/>
          <w:tab w:val="left" w:pos="709"/>
        </w:tabs>
        <w:spacing w:after="0" w:line="276" w:lineRule="auto"/>
        <w:jc w:val="both"/>
        <w:rPr>
          <w:rFonts w:ascii="Arial" w:hAnsi="Arial" w:cs="Arial"/>
          <w:b w:val="0"/>
          <w:color w:val="auto"/>
          <w:sz w:val="22"/>
          <w:szCs w:val="22"/>
        </w:rPr>
      </w:pPr>
    </w:p>
    <w:p w14:paraId="1604D2F6" w14:textId="77777777" w:rsidR="00847348" w:rsidRPr="00EE1D22" w:rsidRDefault="00847348" w:rsidP="00847348">
      <w:pPr>
        <w:pStyle w:val="Heading1"/>
        <w:rPr>
          <w:lang w:eastAsia="en-AU"/>
        </w:rPr>
      </w:pPr>
      <w:r w:rsidRPr="00EE1D22">
        <w:rPr>
          <w:lang w:eastAsia="en-AU"/>
        </w:rPr>
        <w:lastRenderedPageBreak/>
        <w:t>POLICY</w:t>
      </w:r>
    </w:p>
    <w:p w14:paraId="0D1002B2" w14:textId="77777777" w:rsidR="00375446" w:rsidRPr="00854B22" w:rsidRDefault="00375446" w:rsidP="00375446">
      <w:pPr>
        <w:pStyle w:val="nada-body-bullets"/>
        <w:numPr>
          <w:ilvl w:val="0"/>
          <w:numId w:val="0"/>
        </w:numPr>
        <w:tabs>
          <w:tab w:val="clear" w:pos="1134"/>
          <w:tab w:val="left" w:pos="709"/>
        </w:tabs>
        <w:spacing w:after="0" w:line="276" w:lineRule="auto"/>
        <w:jc w:val="both"/>
        <w:rPr>
          <w:rFonts w:ascii="Arial" w:hAnsi="Arial" w:cs="Arial"/>
          <w:sz w:val="22"/>
          <w:szCs w:val="22"/>
        </w:rPr>
      </w:pPr>
      <w:bookmarkStart w:id="0" w:name="_Hlk2432444"/>
      <w:r>
        <w:rPr>
          <w:rFonts w:ascii="Arial" w:hAnsi="Arial" w:cs="Arial"/>
          <w:b/>
          <w:sz w:val="22"/>
          <w:szCs w:val="22"/>
        </w:rPr>
        <w:t xml:space="preserve">First Call Nursing </w:t>
      </w:r>
      <w:r w:rsidRPr="00854B22">
        <w:rPr>
          <w:rFonts w:ascii="Arial" w:hAnsi="Arial" w:cs="Arial"/>
          <w:sz w:val="22"/>
          <w:szCs w:val="22"/>
        </w:rPr>
        <w:t>respects and values differing perspectives and priorities held by individuals, groups</w:t>
      </w:r>
      <w:r>
        <w:rPr>
          <w:rFonts w:ascii="Arial" w:hAnsi="Arial" w:cs="Arial"/>
          <w:sz w:val="22"/>
          <w:szCs w:val="22"/>
        </w:rPr>
        <w:t>, other service providers</w:t>
      </w:r>
      <w:r w:rsidRPr="00854B22">
        <w:rPr>
          <w:rFonts w:ascii="Arial" w:hAnsi="Arial" w:cs="Arial"/>
          <w:sz w:val="22"/>
          <w:szCs w:val="22"/>
        </w:rPr>
        <w:t xml:space="preserve"> and organisations, while focusing on the agreed and common purpose of the relationship.</w:t>
      </w:r>
    </w:p>
    <w:bookmarkEnd w:id="0"/>
    <w:p w14:paraId="101E143C" w14:textId="160444E4" w:rsidR="00375446" w:rsidRPr="00854B22" w:rsidRDefault="00375446" w:rsidP="00375446">
      <w:pPr>
        <w:pStyle w:val="nada-body-bullets"/>
        <w:numPr>
          <w:ilvl w:val="0"/>
          <w:numId w:val="0"/>
        </w:numPr>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 xml:space="preserve">Both formal and informal relationships provide value to </w:t>
      </w:r>
      <w:r>
        <w:rPr>
          <w:rFonts w:ascii="Arial" w:hAnsi="Arial" w:cs="Arial"/>
          <w:sz w:val="22"/>
          <w:szCs w:val="22"/>
        </w:rPr>
        <w:t>First Call Nursing</w:t>
      </w:r>
      <w:r w:rsidRPr="00854B22">
        <w:rPr>
          <w:rFonts w:ascii="Arial" w:hAnsi="Arial" w:cs="Arial"/>
          <w:b/>
          <w:sz w:val="22"/>
          <w:szCs w:val="22"/>
        </w:rPr>
        <w:t xml:space="preserve"> </w:t>
      </w:r>
      <w:r w:rsidRPr="00854B22">
        <w:rPr>
          <w:rFonts w:ascii="Arial" w:hAnsi="Arial" w:cs="Arial"/>
          <w:sz w:val="22"/>
          <w:szCs w:val="22"/>
        </w:rPr>
        <w:t>and its clients.</w:t>
      </w:r>
    </w:p>
    <w:p w14:paraId="20641BFD" w14:textId="77777777" w:rsidR="00375446" w:rsidRDefault="00375446" w:rsidP="00847348">
      <w:pPr>
        <w:spacing w:before="120" w:after="120"/>
        <w:ind w:right="920"/>
        <w:rPr>
          <w:rFonts w:cs="Arial"/>
          <w:bCs/>
          <w:iCs/>
        </w:rPr>
      </w:pPr>
    </w:p>
    <w:p w14:paraId="521DD48C" w14:textId="739E03C3" w:rsidR="00847348" w:rsidRPr="00C40FED" w:rsidRDefault="006E4F26" w:rsidP="00847348">
      <w:pPr>
        <w:spacing w:before="120" w:after="120"/>
        <w:ind w:right="920"/>
        <w:rPr>
          <w:rFonts w:cs="Arial"/>
          <w:bCs/>
          <w:iCs/>
        </w:rPr>
      </w:pPr>
      <w:r>
        <w:rPr>
          <w:rFonts w:cs="Arial"/>
          <w:bCs/>
          <w:iCs/>
        </w:rPr>
        <w:t xml:space="preserve">Prior to making connections with external organisations, First Call staff will seek the relevant </w:t>
      </w:r>
      <w:r w:rsidR="00A77A6B">
        <w:rPr>
          <w:rFonts w:cs="Arial"/>
          <w:bCs/>
          <w:iCs/>
        </w:rPr>
        <w:t>client’s</w:t>
      </w:r>
      <w:r>
        <w:rPr>
          <w:rFonts w:cs="Arial"/>
          <w:bCs/>
          <w:iCs/>
        </w:rPr>
        <w:t xml:space="preserve"> consent and will ensure that the </w:t>
      </w:r>
      <w:r w:rsidR="00A77A6B">
        <w:rPr>
          <w:rFonts w:cs="Arial"/>
          <w:bCs/>
          <w:iCs/>
        </w:rPr>
        <w:t>client</w:t>
      </w:r>
      <w:r>
        <w:rPr>
          <w:rFonts w:cs="Arial"/>
          <w:bCs/>
          <w:iCs/>
        </w:rPr>
        <w:t xml:space="preserve"> is aware of the relationship. </w:t>
      </w:r>
    </w:p>
    <w:p w14:paraId="5D6FED01" w14:textId="10CC9337" w:rsidR="00847348" w:rsidRDefault="00847348" w:rsidP="00847348">
      <w:pPr>
        <w:pStyle w:val="Heading1"/>
        <w:rPr>
          <w:lang w:eastAsia="en-AU"/>
        </w:rPr>
      </w:pPr>
      <w:r w:rsidRPr="00EE1D22">
        <w:rPr>
          <w:lang w:eastAsia="en-AU"/>
        </w:rPr>
        <w:t>PROCEDURE</w:t>
      </w:r>
    </w:p>
    <w:p w14:paraId="6D97B577" w14:textId="77777777" w:rsidR="00817DA2" w:rsidRPr="00854B22" w:rsidRDefault="00817DA2" w:rsidP="00817DA2">
      <w:pPr>
        <w:spacing w:after="0"/>
        <w:jc w:val="both"/>
      </w:pPr>
      <w:r>
        <w:t>Agreements</w:t>
      </w:r>
      <w:r w:rsidRPr="00854B22">
        <w:t xml:space="preserve"> must be demonstrated through a purchaser / provider contract referred to as a</w:t>
      </w:r>
      <w:hyperlink r:id="rId7" w:history="1"/>
      <w:r>
        <w:t xml:space="preserve"> service agreement</w:t>
      </w:r>
      <w:r w:rsidRPr="00854B22">
        <w:t xml:space="preserve">. The </w:t>
      </w:r>
      <w:r>
        <w:t>service agreement</w:t>
      </w:r>
      <w:r w:rsidRPr="00854B22">
        <w:t xml:space="preserve"> clearly identifies: </w:t>
      </w:r>
    </w:p>
    <w:p w14:paraId="701992E9" w14:textId="77777777" w:rsidR="00817DA2" w:rsidRPr="00854B22" w:rsidRDefault="00817DA2" w:rsidP="00817DA2">
      <w:pPr>
        <w:pStyle w:val="ListParagraph"/>
        <w:numPr>
          <w:ilvl w:val="0"/>
          <w:numId w:val="8"/>
        </w:numPr>
        <w:spacing w:before="0" w:after="0"/>
        <w:jc w:val="both"/>
      </w:pPr>
      <w:r w:rsidRPr="00854B22">
        <w:t>involved parties and their responsibilities</w:t>
      </w:r>
    </w:p>
    <w:p w14:paraId="2025D814" w14:textId="77777777" w:rsidR="00817DA2" w:rsidRPr="00854B22" w:rsidRDefault="00817DA2" w:rsidP="00817DA2">
      <w:pPr>
        <w:pStyle w:val="ListParagraph"/>
        <w:numPr>
          <w:ilvl w:val="0"/>
          <w:numId w:val="8"/>
        </w:numPr>
        <w:spacing w:before="0" w:after="0"/>
        <w:jc w:val="both"/>
      </w:pPr>
      <w:r w:rsidRPr="00854B22">
        <w:t>product/service to be provided</w:t>
      </w:r>
    </w:p>
    <w:p w14:paraId="66DF2C3D" w14:textId="77777777" w:rsidR="00817DA2" w:rsidRPr="00854B22" w:rsidRDefault="00817DA2" w:rsidP="00817DA2">
      <w:pPr>
        <w:pStyle w:val="ListParagraph"/>
        <w:numPr>
          <w:ilvl w:val="0"/>
          <w:numId w:val="8"/>
        </w:numPr>
        <w:spacing w:before="0" w:after="0"/>
        <w:jc w:val="both"/>
      </w:pPr>
      <w:r w:rsidRPr="00854B22">
        <w:t>timeframe for delivery</w:t>
      </w:r>
    </w:p>
    <w:p w14:paraId="1AB10A1D" w14:textId="77777777" w:rsidR="00817DA2" w:rsidRPr="00854B22" w:rsidRDefault="00817DA2" w:rsidP="00817DA2">
      <w:pPr>
        <w:pStyle w:val="ListParagraph"/>
        <w:numPr>
          <w:ilvl w:val="0"/>
          <w:numId w:val="8"/>
        </w:numPr>
        <w:spacing w:before="0" w:after="0"/>
        <w:jc w:val="both"/>
      </w:pPr>
      <w:r w:rsidRPr="00854B22">
        <w:t>payment schedule</w:t>
      </w:r>
    </w:p>
    <w:p w14:paraId="14DDA7DF" w14:textId="77777777" w:rsidR="00817DA2" w:rsidRPr="00854B22" w:rsidRDefault="00817DA2" w:rsidP="00817DA2">
      <w:pPr>
        <w:pStyle w:val="ListParagraph"/>
        <w:numPr>
          <w:ilvl w:val="0"/>
          <w:numId w:val="8"/>
        </w:numPr>
        <w:spacing w:before="0" w:after="0"/>
        <w:jc w:val="both"/>
      </w:pPr>
      <w:r w:rsidRPr="00854B22">
        <w:t>dispute resolution procedures.</w:t>
      </w:r>
    </w:p>
    <w:p w14:paraId="46B29B5B" w14:textId="77777777" w:rsidR="00817DA2" w:rsidRPr="00854B22" w:rsidRDefault="00817DA2" w:rsidP="00817DA2">
      <w:pPr>
        <w:pStyle w:val="nada-body"/>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 xml:space="preserve">External relationships may be an informal process for working together or be formalised through an agreement or contract. </w:t>
      </w:r>
    </w:p>
    <w:p w14:paraId="4CFEDF74" w14:textId="77777777" w:rsidR="00817DA2" w:rsidRPr="00854B22" w:rsidRDefault="00817DA2" w:rsidP="00817DA2">
      <w:pPr>
        <w:pStyle w:val="nada-body"/>
        <w:tabs>
          <w:tab w:val="clear" w:pos="1134"/>
          <w:tab w:val="left" w:pos="709"/>
        </w:tabs>
        <w:spacing w:after="0" w:line="276" w:lineRule="auto"/>
        <w:jc w:val="both"/>
        <w:rPr>
          <w:rFonts w:ascii="Arial" w:hAnsi="Arial" w:cs="Arial"/>
          <w:sz w:val="22"/>
          <w:szCs w:val="22"/>
        </w:rPr>
      </w:pPr>
    </w:p>
    <w:p w14:paraId="68CF4678" w14:textId="2FA59CE4" w:rsidR="00817DA2" w:rsidRPr="00854B22" w:rsidRDefault="00817DA2" w:rsidP="00817DA2">
      <w:pPr>
        <w:pStyle w:val="nada-body"/>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 xml:space="preserve">Where </w:t>
      </w:r>
      <w:r>
        <w:rPr>
          <w:rFonts w:ascii="Arial" w:hAnsi="Arial" w:cs="Arial"/>
          <w:sz w:val="22"/>
          <w:szCs w:val="22"/>
        </w:rPr>
        <w:t>First Call Nursing</w:t>
      </w:r>
      <w:r w:rsidRPr="00854B22">
        <w:rPr>
          <w:rFonts w:ascii="Arial" w:hAnsi="Arial" w:cs="Arial"/>
          <w:b/>
          <w:sz w:val="22"/>
          <w:szCs w:val="22"/>
        </w:rPr>
        <w:t xml:space="preserve"> </w:t>
      </w:r>
      <w:r w:rsidRPr="00854B22">
        <w:rPr>
          <w:rFonts w:ascii="Arial" w:hAnsi="Arial" w:cs="Arial"/>
          <w:sz w:val="22"/>
          <w:szCs w:val="22"/>
        </w:rPr>
        <w:t xml:space="preserve">enters into a funding relationship and is awarded a </w:t>
      </w:r>
      <w:r>
        <w:rPr>
          <w:rFonts w:ascii="Arial" w:hAnsi="Arial" w:cs="Arial"/>
          <w:sz w:val="22"/>
          <w:szCs w:val="22"/>
        </w:rPr>
        <w:t>tender</w:t>
      </w:r>
      <w:r w:rsidRPr="00854B22">
        <w:rPr>
          <w:rFonts w:ascii="Arial" w:hAnsi="Arial" w:cs="Arial"/>
          <w:sz w:val="22"/>
          <w:szCs w:val="22"/>
        </w:rPr>
        <w:t xml:space="preserve"> to provide a specified service, there must always be a formal agreement, such as a </w:t>
      </w:r>
      <w:r>
        <w:rPr>
          <w:rFonts w:ascii="Arial" w:hAnsi="Arial" w:cs="Arial"/>
          <w:sz w:val="22"/>
          <w:szCs w:val="22"/>
        </w:rPr>
        <w:t xml:space="preserve">signed </w:t>
      </w:r>
      <w:r w:rsidRPr="00854B22">
        <w:rPr>
          <w:rFonts w:ascii="Arial" w:hAnsi="Arial" w:cs="Arial"/>
          <w:sz w:val="22"/>
          <w:szCs w:val="22"/>
        </w:rPr>
        <w:t xml:space="preserve">funding agreement. </w:t>
      </w:r>
    </w:p>
    <w:p w14:paraId="72CF67EC" w14:textId="77777777" w:rsidR="00817DA2" w:rsidRPr="00854B22" w:rsidRDefault="00817DA2" w:rsidP="00817DA2">
      <w:pPr>
        <w:pStyle w:val="nada-body"/>
        <w:tabs>
          <w:tab w:val="clear" w:pos="1134"/>
          <w:tab w:val="left" w:pos="709"/>
        </w:tabs>
        <w:spacing w:after="0" w:line="276" w:lineRule="auto"/>
        <w:jc w:val="both"/>
        <w:rPr>
          <w:rFonts w:ascii="Arial" w:hAnsi="Arial" w:cs="Arial"/>
          <w:sz w:val="22"/>
          <w:szCs w:val="22"/>
        </w:rPr>
      </w:pPr>
    </w:p>
    <w:p w14:paraId="19D2AC04" w14:textId="77777777" w:rsidR="00817DA2" w:rsidRPr="00854B22" w:rsidRDefault="00817DA2" w:rsidP="00817DA2">
      <w:pPr>
        <w:pStyle w:val="nada-body"/>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Where funds are exchanged for goods or services, there must always be a formal agreement such as a contract</w:t>
      </w:r>
      <w:r>
        <w:rPr>
          <w:rFonts w:ascii="Arial" w:hAnsi="Arial" w:cs="Arial"/>
          <w:sz w:val="22"/>
          <w:szCs w:val="22"/>
        </w:rPr>
        <w:t>/service agreement</w:t>
      </w:r>
      <w:r w:rsidRPr="00854B22">
        <w:rPr>
          <w:rFonts w:ascii="Arial" w:hAnsi="Arial" w:cs="Arial"/>
          <w:sz w:val="22"/>
          <w:szCs w:val="22"/>
        </w:rPr>
        <w:t xml:space="preserve">.  </w:t>
      </w:r>
    </w:p>
    <w:p w14:paraId="421DE2DB" w14:textId="77777777" w:rsidR="00817DA2" w:rsidRPr="00854B22" w:rsidRDefault="00817DA2" w:rsidP="00817DA2">
      <w:pPr>
        <w:pStyle w:val="nada-body"/>
        <w:tabs>
          <w:tab w:val="clear" w:pos="1134"/>
          <w:tab w:val="left" w:pos="709"/>
        </w:tabs>
        <w:spacing w:after="0" w:line="276" w:lineRule="auto"/>
        <w:jc w:val="both"/>
        <w:rPr>
          <w:rFonts w:ascii="Arial" w:hAnsi="Arial" w:cs="Arial"/>
          <w:sz w:val="22"/>
          <w:szCs w:val="22"/>
        </w:rPr>
      </w:pPr>
    </w:p>
    <w:p w14:paraId="0F94B764" w14:textId="10AAB6F8" w:rsidR="00817DA2" w:rsidRPr="00854B22" w:rsidRDefault="00817DA2" w:rsidP="00817DA2">
      <w:pPr>
        <w:pStyle w:val="nada-body"/>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Partnerships may be informal associations or formalised through agreements called ‘</w:t>
      </w:r>
      <w:r>
        <w:rPr>
          <w:rFonts w:ascii="Arial" w:hAnsi="Arial" w:cs="Arial"/>
          <w:sz w:val="22"/>
          <w:szCs w:val="22"/>
        </w:rPr>
        <w:t>Tenders’</w:t>
      </w:r>
      <w:r w:rsidRPr="00854B22">
        <w:rPr>
          <w:rFonts w:ascii="Arial" w:hAnsi="Arial" w:cs="Arial"/>
          <w:sz w:val="22"/>
          <w:szCs w:val="22"/>
        </w:rPr>
        <w:t>, ‘</w:t>
      </w:r>
      <w:r>
        <w:rPr>
          <w:rFonts w:ascii="Arial" w:hAnsi="Arial" w:cs="Arial"/>
          <w:sz w:val="22"/>
          <w:szCs w:val="22"/>
        </w:rPr>
        <w:t xml:space="preserve">Service </w:t>
      </w:r>
      <w:r w:rsidRPr="00854B22">
        <w:rPr>
          <w:rFonts w:ascii="Arial" w:hAnsi="Arial" w:cs="Arial"/>
          <w:sz w:val="22"/>
          <w:szCs w:val="22"/>
        </w:rPr>
        <w:t>Agreement’, or ‘Intention to Collaborate’. The common theme of these types of agreements is that they identify:</w:t>
      </w:r>
    </w:p>
    <w:p w14:paraId="574C23E9" w14:textId="77777777" w:rsidR="00817DA2" w:rsidRPr="00854B22" w:rsidRDefault="00817DA2" w:rsidP="00817DA2">
      <w:pPr>
        <w:pStyle w:val="nada-body"/>
        <w:tabs>
          <w:tab w:val="clear" w:pos="1134"/>
          <w:tab w:val="left" w:pos="709"/>
        </w:tabs>
        <w:spacing w:after="0" w:line="276" w:lineRule="auto"/>
        <w:jc w:val="both"/>
        <w:rPr>
          <w:rFonts w:ascii="Arial" w:hAnsi="Arial" w:cs="Arial"/>
          <w:sz w:val="22"/>
          <w:szCs w:val="22"/>
        </w:rPr>
      </w:pPr>
    </w:p>
    <w:p w14:paraId="1F0A7E68" w14:textId="77777777" w:rsidR="00817DA2" w:rsidRPr="00854B22" w:rsidRDefault="00817DA2" w:rsidP="00817DA2">
      <w:pPr>
        <w:pStyle w:val="nada-body"/>
        <w:numPr>
          <w:ilvl w:val="0"/>
          <w:numId w:val="9"/>
        </w:numPr>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background information</w:t>
      </w:r>
    </w:p>
    <w:p w14:paraId="70A030AC" w14:textId="77777777" w:rsidR="00817DA2" w:rsidRPr="00854B22" w:rsidRDefault="00817DA2" w:rsidP="00817DA2">
      <w:pPr>
        <w:pStyle w:val="nada-body"/>
        <w:numPr>
          <w:ilvl w:val="0"/>
          <w:numId w:val="9"/>
        </w:numPr>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all parties involved and relevant contact officers</w:t>
      </w:r>
    </w:p>
    <w:p w14:paraId="4C782EF8" w14:textId="77777777" w:rsidR="00817DA2" w:rsidRPr="00854B22" w:rsidRDefault="00817DA2" w:rsidP="00817DA2">
      <w:pPr>
        <w:pStyle w:val="nada-body"/>
        <w:numPr>
          <w:ilvl w:val="0"/>
          <w:numId w:val="9"/>
        </w:numPr>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the participation agreed to</w:t>
      </w:r>
    </w:p>
    <w:p w14:paraId="39AEBCEE" w14:textId="77777777" w:rsidR="00817DA2" w:rsidRPr="00854B22" w:rsidRDefault="00817DA2" w:rsidP="00817DA2">
      <w:pPr>
        <w:pStyle w:val="nada-body"/>
        <w:numPr>
          <w:ilvl w:val="0"/>
          <w:numId w:val="9"/>
        </w:numPr>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purpose and outcomes of the agreement</w:t>
      </w:r>
    </w:p>
    <w:p w14:paraId="7F92D252" w14:textId="77777777" w:rsidR="00817DA2" w:rsidRPr="00854B22" w:rsidRDefault="00817DA2" w:rsidP="00817DA2">
      <w:pPr>
        <w:pStyle w:val="nada-body"/>
        <w:numPr>
          <w:ilvl w:val="0"/>
          <w:numId w:val="9"/>
        </w:numPr>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dispute resolution procedures</w:t>
      </w:r>
    </w:p>
    <w:p w14:paraId="3E9B8827" w14:textId="70438BE2" w:rsidR="00817DA2" w:rsidRDefault="00817DA2" w:rsidP="00817DA2">
      <w:pPr>
        <w:pStyle w:val="nada-body"/>
        <w:numPr>
          <w:ilvl w:val="0"/>
          <w:numId w:val="9"/>
        </w:numPr>
        <w:tabs>
          <w:tab w:val="clear" w:pos="1134"/>
          <w:tab w:val="left" w:pos="709"/>
        </w:tabs>
        <w:spacing w:after="0" w:line="276" w:lineRule="auto"/>
        <w:jc w:val="both"/>
        <w:rPr>
          <w:rFonts w:ascii="Arial" w:hAnsi="Arial" w:cs="Arial"/>
          <w:sz w:val="22"/>
          <w:szCs w:val="22"/>
        </w:rPr>
      </w:pPr>
      <w:r w:rsidRPr="00854B22">
        <w:rPr>
          <w:rFonts w:ascii="Arial" w:hAnsi="Arial" w:cs="Arial"/>
          <w:sz w:val="22"/>
          <w:szCs w:val="22"/>
        </w:rPr>
        <w:t xml:space="preserve">length of the association. </w:t>
      </w:r>
    </w:p>
    <w:p w14:paraId="6A5A6133" w14:textId="77777777" w:rsidR="00247108" w:rsidRPr="00854B22" w:rsidRDefault="00247108" w:rsidP="001B5D4B">
      <w:pPr>
        <w:pStyle w:val="nada-body"/>
        <w:tabs>
          <w:tab w:val="clear" w:pos="1134"/>
          <w:tab w:val="left" w:pos="709"/>
        </w:tabs>
        <w:spacing w:after="0" w:line="276" w:lineRule="auto"/>
        <w:ind w:left="720"/>
        <w:jc w:val="both"/>
        <w:rPr>
          <w:rFonts w:ascii="Arial" w:hAnsi="Arial" w:cs="Arial"/>
          <w:sz w:val="22"/>
          <w:szCs w:val="22"/>
        </w:rPr>
      </w:pPr>
    </w:p>
    <w:p w14:paraId="51EFD745" w14:textId="2A53D12C" w:rsidR="004D6DCA" w:rsidRPr="00AE3072" w:rsidRDefault="004D6DCA" w:rsidP="00FE6ACB">
      <w:pPr>
        <w:rPr>
          <w:b/>
          <w:lang w:eastAsia="en-AU"/>
        </w:rPr>
      </w:pPr>
      <w:r w:rsidRPr="00AE3072">
        <w:rPr>
          <w:b/>
          <w:lang w:eastAsia="en-AU"/>
        </w:rPr>
        <w:t>When First Call is sub-contracted to provide a service - brokerage</w:t>
      </w:r>
    </w:p>
    <w:p w14:paraId="13385ED4" w14:textId="58B44E22" w:rsidR="00FE6ACB" w:rsidRDefault="006365F3" w:rsidP="00FE6ACB">
      <w:pPr>
        <w:rPr>
          <w:lang w:eastAsia="en-AU"/>
        </w:rPr>
      </w:pPr>
      <w:r>
        <w:rPr>
          <w:lang w:eastAsia="en-AU"/>
        </w:rPr>
        <w:t xml:space="preserve">When </w:t>
      </w:r>
      <w:r w:rsidR="00247108">
        <w:rPr>
          <w:lang w:eastAsia="en-AU"/>
        </w:rPr>
        <w:t>support staff are working with another service provider providing a service</w:t>
      </w:r>
    </w:p>
    <w:p w14:paraId="0B31649B" w14:textId="77777777" w:rsidR="00247108" w:rsidRPr="00C40FED" w:rsidRDefault="00247108" w:rsidP="00247108">
      <w:pPr>
        <w:spacing w:before="120" w:after="120"/>
        <w:rPr>
          <w:rFonts w:cs="Arial"/>
          <w:lang w:eastAsia="en-AU"/>
        </w:rPr>
      </w:pPr>
      <w:r w:rsidRPr="00C40FED">
        <w:rPr>
          <w:rFonts w:cs="Arial"/>
          <w:lang w:eastAsia="en-AU"/>
        </w:rPr>
        <w:t>This policy provides the guidance when working with other service providers under a brokerage arrangement</w:t>
      </w:r>
      <w:r>
        <w:rPr>
          <w:rFonts w:cs="Arial"/>
          <w:lang w:eastAsia="en-AU"/>
        </w:rPr>
        <w:t>.</w:t>
      </w:r>
    </w:p>
    <w:p w14:paraId="53C6B98C" w14:textId="77777777" w:rsidR="00817DA2" w:rsidRPr="00FE6ACB" w:rsidRDefault="00817DA2" w:rsidP="001B5D4B">
      <w:pPr>
        <w:rPr>
          <w:lang w:eastAsia="en-AU"/>
        </w:rPr>
      </w:pPr>
    </w:p>
    <w:p w14:paraId="29E419A7" w14:textId="77777777" w:rsidR="00847348" w:rsidRPr="00C40FED" w:rsidRDefault="00847348" w:rsidP="00847348">
      <w:pPr>
        <w:pStyle w:val="Heading2"/>
      </w:pPr>
      <w:r w:rsidRPr="00C40FED">
        <w:t>Equipment</w:t>
      </w:r>
    </w:p>
    <w:p w14:paraId="2EB8F0CA" w14:textId="77777777" w:rsidR="00847348" w:rsidRPr="00C40FED" w:rsidRDefault="00847348" w:rsidP="00847348">
      <w:pPr>
        <w:numPr>
          <w:ilvl w:val="0"/>
          <w:numId w:val="3"/>
        </w:numPr>
        <w:spacing w:before="120" w:after="120" w:line="240" w:lineRule="auto"/>
        <w:rPr>
          <w:rFonts w:cs="Arial"/>
        </w:rPr>
      </w:pPr>
      <w:r w:rsidRPr="00C40FED">
        <w:rPr>
          <w:rFonts w:cs="Arial"/>
        </w:rPr>
        <w:t>Gloves</w:t>
      </w:r>
    </w:p>
    <w:p w14:paraId="07FA360D" w14:textId="77777777" w:rsidR="00847348" w:rsidRPr="00C40FED" w:rsidRDefault="00847348" w:rsidP="00847348">
      <w:pPr>
        <w:numPr>
          <w:ilvl w:val="0"/>
          <w:numId w:val="3"/>
        </w:numPr>
        <w:spacing w:before="120" w:after="120" w:line="240" w:lineRule="auto"/>
        <w:rPr>
          <w:rFonts w:cs="Arial"/>
        </w:rPr>
      </w:pPr>
      <w:r w:rsidRPr="00C40FED">
        <w:rPr>
          <w:rFonts w:cs="Arial"/>
        </w:rPr>
        <w:t>PPE specific to duties</w:t>
      </w:r>
    </w:p>
    <w:p w14:paraId="24F83AD6" w14:textId="77777777" w:rsidR="00847348" w:rsidRDefault="00847348" w:rsidP="00847348">
      <w:pPr>
        <w:pStyle w:val="Heading2"/>
      </w:pPr>
      <w:r w:rsidRPr="00C40FED">
        <w:lastRenderedPageBreak/>
        <w:t>Implementation</w:t>
      </w:r>
    </w:p>
    <w:p w14:paraId="61F5DA5D" w14:textId="77777777" w:rsidR="00847348" w:rsidRPr="00C40FED" w:rsidRDefault="00847348" w:rsidP="00847348">
      <w:pPr>
        <w:pStyle w:val="Heading3"/>
      </w:pPr>
      <w:r w:rsidRPr="00C40FED">
        <w:t>Assisting primary service provider</w:t>
      </w:r>
    </w:p>
    <w:p w14:paraId="2FC70B96" w14:textId="77777777" w:rsidR="00847348" w:rsidRPr="00C40FED" w:rsidRDefault="00847348" w:rsidP="00847348">
      <w:pPr>
        <w:numPr>
          <w:ilvl w:val="0"/>
          <w:numId w:val="4"/>
        </w:numPr>
        <w:spacing w:before="120" w:after="120" w:line="240" w:lineRule="auto"/>
        <w:rPr>
          <w:rFonts w:cs="Arial"/>
        </w:rPr>
      </w:pPr>
      <w:r w:rsidRPr="00C40FED">
        <w:rPr>
          <w:rFonts w:cs="Arial"/>
        </w:rPr>
        <w:t xml:space="preserve">Identify </w:t>
      </w:r>
      <w:r>
        <w:rPr>
          <w:rFonts w:cs="Arial"/>
        </w:rPr>
        <w:t>client</w:t>
      </w:r>
      <w:r w:rsidRPr="00C40FED">
        <w:rPr>
          <w:rFonts w:cs="Arial"/>
        </w:rPr>
        <w:t xml:space="preserve"> – care service – two-person service </w:t>
      </w:r>
    </w:p>
    <w:p w14:paraId="02143F41" w14:textId="77777777" w:rsidR="00847348" w:rsidRPr="00C40FED" w:rsidRDefault="00847348" w:rsidP="00847348">
      <w:pPr>
        <w:numPr>
          <w:ilvl w:val="0"/>
          <w:numId w:val="4"/>
        </w:numPr>
        <w:spacing w:before="120" w:after="120" w:line="240" w:lineRule="auto"/>
        <w:rPr>
          <w:rFonts w:cs="Arial"/>
        </w:rPr>
      </w:pPr>
      <w:r w:rsidRPr="00C40FED">
        <w:rPr>
          <w:rFonts w:cs="Arial"/>
        </w:rPr>
        <w:t xml:space="preserve">Verify </w:t>
      </w:r>
      <w:r>
        <w:rPr>
          <w:rFonts w:cs="Arial"/>
        </w:rPr>
        <w:t>which</w:t>
      </w:r>
      <w:r w:rsidRPr="00C40FED">
        <w:rPr>
          <w:rFonts w:cs="Arial"/>
        </w:rPr>
        <w:t xml:space="preserve"> other service provider is providing care</w:t>
      </w:r>
    </w:p>
    <w:p w14:paraId="5DCB5835" w14:textId="77777777" w:rsidR="00847348" w:rsidRPr="00C40FED" w:rsidRDefault="00847348" w:rsidP="00847348">
      <w:pPr>
        <w:numPr>
          <w:ilvl w:val="0"/>
          <w:numId w:val="4"/>
        </w:numPr>
        <w:spacing w:before="120" w:after="120" w:line="240" w:lineRule="auto"/>
        <w:rPr>
          <w:rFonts w:cs="Arial"/>
        </w:rPr>
      </w:pPr>
      <w:r w:rsidRPr="00C40FED">
        <w:rPr>
          <w:rFonts w:cs="Arial"/>
        </w:rPr>
        <w:t>Care staff to follow work instructions provided by primary service provider’s care staff member</w:t>
      </w:r>
    </w:p>
    <w:p w14:paraId="5D03E0EA" w14:textId="77777777" w:rsidR="00847348" w:rsidRPr="00C40FED" w:rsidRDefault="00847348" w:rsidP="00847348">
      <w:pPr>
        <w:pStyle w:val="Heading3"/>
      </w:pPr>
      <w:r w:rsidRPr="00C40FED">
        <w:t>First Call providing both care staff members</w:t>
      </w:r>
    </w:p>
    <w:p w14:paraId="78D864EB" w14:textId="77777777" w:rsidR="00847348" w:rsidRPr="00C40FED" w:rsidRDefault="00847348" w:rsidP="00847348">
      <w:pPr>
        <w:numPr>
          <w:ilvl w:val="0"/>
          <w:numId w:val="6"/>
        </w:numPr>
        <w:spacing w:before="120" w:after="120" w:line="240" w:lineRule="auto"/>
        <w:rPr>
          <w:rFonts w:cs="Arial"/>
        </w:rPr>
      </w:pPr>
      <w:r w:rsidRPr="00C40FED">
        <w:rPr>
          <w:rFonts w:cs="Arial"/>
        </w:rPr>
        <w:t>Follow care plan instructions deferring to senior care staff member</w:t>
      </w:r>
    </w:p>
    <w:p w14:paraId="20A48B80" w14:textId="77777777" w:rsidR="00847348" w:rsidRPr="00C40FED" w:rsidRDefault="00847348" w:rsidP="00847348">
      <w:pPr>
        <w:numPr>
          <w:ilvl w:val="0"/>
          <w:numId w:val="6"/>
        </w:numPr>
        <w:spacing w:before="120" w:after="120" w:line="240" w:lineRule="auto"/>
        <w:rPr>
          <w:rFonts w:cs="Arial"/>
        </w:rPr>
      </w:pPr>
      <w:r w:rsidRPr="00C40FED">
        <w:rPr>
          <w:rFonts w:cs="Arial"/>
        </w:rPr>
        <w:t xml:space="preserve">Remember every service is different, follow specific instructions relating to the </w:t>
      </w:r>
      <w:r>
        <w:rPr>
          <w:rFonts w:cs="Arial"/>
        </w:rPr>
        <w:t>client</w:t>
      </w:r>
      <w:r w:rsidRPr="00C40FED">
        <w:rPr>
          <w:rFonts w:cs="Arial"/>
        </w:rPr>
        <w:t>’s service.</w:t>
      </w:r>
    </w:p>
    <w:p w14:paraId="6388785A" w14:textId="77777777" w:rsidR="00847348" w:rsidRPr="00C40FED" w:rsidRDefault="00847348" w:rsidP="00847348">
      <w:pPr>
        <w:pStyle w:val="Heading2"/>
      </w:pPr>
      <w:r w:rsidRPr="00C40FED">
        <w:t>Special precautions</w:t>
      </w:r>
    </w:p>
    <w:p w14:paraId="057E0025" w14:textId="77777777" w:rsidR="00847348" w:rsidRPr="00C40FED" w:rsidRDefault="00847348" w:rsidP="00847348">
      <w:pPr>
        <w:numPr>
          <w:ilvl w:val="0"/>
          <w:numId w:val="5"/>
        </w:numPr>
        <w:spacing w:before="120" w:after="120" w:line="240" w:lineRule="auto"/>
        <w:rPr>
          <w:rFonts w:cs="Arial"/>
        </w:rPr>
      </w:pPr>
      <w:r w:rsidRPr="00C40FED">
        <w:rPr>
          <w:rFonts w:cs="Arial"/>
        </w:rPr>
        <w:t xml:space="preserve">Both care staff must be in attendance before any attempt is made to lift/move </w:t>
      </w:r>
      <w:r>
        <w:rPr>
          <w:rFonts w:cs="Arial"/>
        </w:rPr>
        <w:t>client</w:t>
      </w:r>
      <w:r w:rsidRPr="00C40FED">
        <w:rPr>
          <w:rFonts w:cs="Arial"/>
        </w:rPr>
        <w:t>.</w:t>
      </w:r>
    </w:p>
    <w:p w14:paraId="4DD8510D" w14:textId="77777777" w:rsidR="00847348" w:rsidRPr="00C40FED" w:rsidRDefault="00847348" w:rsidP="00847348">
      <w:pPr>
        <w:numPr>
          <w:ilvl w:val="0"/>
          <w:numId w:val="5"/>
        </w:numPr>
        <w:spacing w:before="120" w:after="120" w:line="240" w:lineRule="auto"/>
        <w:rPr>
          <w:rFonts w:cs="Arial"/>
        </w:rPr>
      </w:pPr>
      <w:r w:rsidRPr="00C40FED">
        <w:rPr>
          <w:rFonts w:cs="Arial"/>
        </w:rPr>
        <w:t>Ensure that correct PPE is used and</w:t>
      </w:r>
      <w:r>
        <w:rPr>
          <w:rFonts w:cs="Arial"/>
        </w:rPr>
        <w:t xml:space="preserve"> is disposed of correctly.</w:t>
      </w:r>
    </w:p>
    <w:p w14:paraId="7EAA2FBE" w14:textId="77777777" w:rsidR="00847348" w:rsidRPr="00C40FED" w:rsidRDefault="00847348" w:rsidP="00847348">
      <w:pPr>
        <w:numPr>
          <w:ilvl w:val="0"/>
          <w:numId w:val="5"/>
        </w:numPr>
        <w:spacing w:before="120" w:after="120" w:line="240" w:lineRule="auto"/>
        <w:rPr>
          <w:rFonts w:cs="Arial"/>
        </w:rPr>
      </w:pPr>
      <w:r w:rsidRPr="00C40FED">
        <w:rPr>
          <w:rFonts w:cs="Arial"/>
        </w:rPr>
        <w:t xml:space="preserve">Ensure that </w:t>
      </w:r>
      <w:r>
        <w:rPr>
          <w:rFonts w:cs="Arial"/>
        </w:rPr>
        <w:t>client</w:t>
      </w:r>
      <w:r w:rsidRPr="00C40FED">
        <w:rPr>
          <w:rFonts w:cs="Arial"/>
        </w:rPr>
        <w:t xml:space="preserve"> condition is stable and managed before leaving the workplace</w:t>
      </w:r>
    </w:p>
    <w:p w14:paraId="61F68BED" w14:textId="77777777" w:rsidR="00847348" w:rsidRPr="00C40FED" w:rsidRDefault="00847348" w:rsidP="00847348">
      <w:pPr>
        <w:numPr>
          <w:ilvl w:val="0"/>
          <w:numId w:val="5"/>
        </w:numPr>
        <w:spacing w:before="120" w:after="120" w:line="240" w:lineRule="auto"/>
        <w:rPr>
          <w:rFonts w:cs="Arial"/>
        </w:rPr>
      </w:pPr>
      <w:r w:rsidRPr="00C40FED">
        <w:rPr>
          <w:rFonts w:cs="Arial"/>
        </w:rPr>
        <w:t>Ensure that documentation is completed</w:t>
      </w:r>
    </w:p>
    <w:p w14:paraId="4A62DF56" w14:textId="77777777" w:rsidR="00DB5095" w:rsidRPr="003521C5" w:rsidRDefault="00DB5095" w:rsidP="003521C5"/>
    <w:sectPr w:rsidR="00DB5095" w:rsidRPr="003521C5" w:rsidSect="00847348">
      <w:headerReference w:type="default" r:id="rId8"/>
      <w:footerReference w:type="default" r:id="rId9"/>
      <w:headerReference w:type="first" r:id="rId10"/>
      <w:footerReference w:type="first" r:id="rId11"/>
      <w:type w:val="oddPage"/>
      <w:pgSz w:w="11906" w:h="16838" w:code="9"/>
      <w:pgMar w:top="992" w:right="851" w:bottom="851"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D0C4" w14:textId="77777777" w:rsidR="00DB5095" w:rsidRDefault="00DB5095" w:rsidP="003521C5">
      <w:r>
        <w:separator/>
      </w:r>
    </w:p>
  </w:endnote>
  <w:endnote w:type="continuationSeparator" w:id="0">
    <w:p w14:paraId="5F1F29AC"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34D2"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0B737A">
      <w:rPr>
        <w:noProof/>
        <w:sz w:val="18"/>
        <w:szCs w:val="18"/>
      </w:rPr>
      <w:t>2</w:t>
    </w:r>
    <w:r w:rsidRPr="0091115D">
      <w:rPr>
        <w:noProof/>
        <w:sz w:val="18"/>
        <w:szCs w:val="18"/>
      </w:rPr>
      <w:fldChar w:fldCharType="end"/>
    </w:r>
  </w:p>
  <w:p w14:paraId="0C964471" w14:textId="776EA453"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1B5D4B">
      <w:rPr>
        <w:sz w:val="18"/>
        <w:szCs w:val="18"/>
      </w:rPr>
      <w:t>May 7,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7631"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03E9188F"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A2A72" w14:textId="77777777" w:rsidR="00DB5095" w:rsidRDefault="00DB5095" w:rsidP="003521C5">
      <w:r>
        <w:separator/>
      </w:r>
    </w:p>
  </w:footnote>
  <w:footnote w:type="continuationSeparator" w:id="0">
    <w:p w14:paraId="2E45A0A1"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BA40" w14:textId="77777777" w:rsidR="001F3A90" w:rsidRPr="001257FB" w:rsidRDefault="00847348" w:rsidP="003521C5">
    <w:pPr>
      <w:pStyle w:val="Subtitle"/>
    </w:pPr>
    <w:r w:rsidRPr="00847348">
      <w:t>P016 - External Relationships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6AE6" w14:textId="77777777" w:rsidR="00DB5095" w:rsidRDefault="00DB5095" w:rsidP="003521C5">
    <w:pPr>
      <w:pStyle w:val="Header"/>
    </w:pPr>
    <w:r w:rsidRPr="00546FEE">
      <w:rPr>
        <w:noProof/>
        <w:lang w:eastAsia="en-AU"/>
      </w:rPr>
      <w:drawing>
        <wp:inline distT="0" distB="0" distL="0" distR="0" wp14:anchorId="1A97F1EF" wp14:editId="52292C80">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E5584"/>
    <w:multiLevelType w:val="hybridMultilevel"/>
    <w:tmpl w:val="CA84BA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837CF7"/>
    <w:multiLevelType w:val="hybridMultilevel"/>
    <w:tmpl w:val="CDF0FB84"/>
    <w:lvl w:ilvl="0" w:tplc="927658C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D4E4056"/>
    <w:multiLevelType w:val="hybridMultilevel"/>
    <w:tmpl w:val="CDF0FB84"/>
    <w:lvl w:ilvl="0" w:tplc="927658C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3448D3"/>
    <w:multiLevelType w:val="hybridMultilevel"/>
    <w:tmpl w:val="B1AEF4D4"/>
    <w:lvl w:ilvl="0" w:tplc="18F0F1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4C7E30"/>
    <w:multiLevelType w:val="hybridMultilevel"/>
    <w:tmpl w:val="CDF0FB84"/>
    <w:lvl w:ilvl="0" w:tplc="927658C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13670D"/>
    <w:multiLevelType w:val="hybridMultilevel"/>
    <w:tmpl w:val="42FE8E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510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B737A"/>
    <w:rsid w:val="001257FB"/>
    <w:rsid w:val="001B5D4B"/>
    <w:rsid w:val="001F3A90"/>
    <w:rsid w:val="002267B6"/>
    <w:rsid w:val="00247108"/>
    <w:rsid w:val="002D4C7D"/>
    <w:rsid w:val="003521C5"/>
    <w:rsid w:val="00375446"/>
    <w:rsid w:val="004D6DCA"/>
    <w:rsid w:val="004F7999"/>
    <w:rsid w:val="00585EC3"/>
    <w:rsid w:val="006365F3"/>
    <w:rsid w:val="006E4F26"/>
    <w:rsid w:val="00817DA2"/>
    <w:rsid w:val="00847348"/>
    <w:rsid w:val="00851E7A"/>
    <w:rsid w:val="008A5EE3"/>
    <w:rsid w:val="0091115D"/>
    <w:rsid w:val="00A77A6B"/>
    <w:rsid w:val="00AD0EA8"/>
    <w:rsid w:val="00AE3072"/>
    <w:rsid w:val="00CC3789"/>
    <w:rsid w:val="00D3662A"/>
    <w:rsid w:val="00DB4317"/>
    <w:rsid w:val="00DB5095"/>
    <w:rsid w:val="00E62663"/>
    <w:rsid w:val="00EF23EE"/>
    <w:rsid w:val="00FE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2421A4"/>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styleId="CommentReference">
    <w:name w:val="annotation reference"/>
    <w:basedOn w:val="DefaultParagraphFont"/>
    <w:uiPriority w:val="99"/>
    <w:semiHidden/>
    <w:unhideWhenUsed/>
    <w:rsid w:val="000B737A"/>
    <w:rPr>
      <w:sz w:val="16"/>
      <w:szCs w:val="16"/>
    </w:rPr>
  </w:style>
  <w:style w:type="paragraph" w:styleId="CommentText">
    <w:name w:val="annotation text"/>
    <w:basedOn w:val="Normal"/>
    <w:link w:val="CommentTextChar"/>
    <w:uiPriority w:val="99"/>
    <w:semiHidden/>
    <w:unhideWhenUsed/>
    <w:rsid w:val="000B737A"/>
    <w:pPr>
      <w:spacing w:line="240" w:lineRule="auto"/>
    </w:pPr>
    <w:rPr>
      <w:sz w:val="20"/>
      <w:szCs w:val="20"/>
    </w:rPr>
  </w:style>
  <w:style w:type="character" w:customStyle="1" w:styleId="CommentTextChar">
    <w:name w:val="Comment Text Char"/>
    <w:basedOn w:val="DefaultParagraphFont"/>
    <w:link w:val="CommentText"/>
    <w:uiPriority w:val="99"/>
    <w:semiHidden/>
    <w:rsid w:val="000B73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737A"/>
    <w:rPr>
      <w:b/>
      <w:bCs/>
    </w:rPr>
  </w:style>
  <w:style w:type="character" w:customStyle="1" w:styleId="CommentSubjectChar">
    <w:name w:val="Comment Subject Char"/>
    <w:basedOn w:val="CommentTextChar"/>
    <w:link w:val="CommentSubject"/>
    <w:uiPriority w:val="99"/>
    <w:semiHidden/>
    <w:rsid w:val="000B737A"/>
    <w:rPr>
      <w:rFonts w:ascii="Arial" w:hAnsi="Arial"/>
      <w:b/>
      <w:bCs/>
      <w:sz w:val="20"/>
      <w:szCs w:val="20"/>
    </w:rPr>
  </w:style>
  <w:style w:type="paragraph" w:styleId="BalloonText">
    <w:name w:val="Balloon Text"/>
    <w:basedOn w:val="Normal"/>
    <w:link w:val="BalloonTextChar"/>
    <w:uiPriority w:val="99"/>
    <w:semiHidden/>
    <w:unhideWhenUsed/>
    <w:rsid w:val="000B73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7A"/>
    <w:rPr>
      <w:rFonts w:ascii="Segoe UI" w:hAnsi="Segoe UI" w:cs="Segoe UI"/>
      <w:sz w:val="18"/>
      <w:szCs w:val="18"/>
    </w:rPr>
  </w:style>
  <w:style w:type="paragraph" w:customStyle="1" w:styleId="nada-body-bullets">
    <w:name w:val="nada - body - bullets"/>
    <w:basedOn w:val="Normal"/>
    <w:link w:val="nada-body-bulletsChar"/>
    <w:rsid w:val="00375446"/>
    <w:pPr>
      <w:numPr>
        <w:numId w:val="7"/>
      </w:numPr>
      <w:tabs>
        <w:tab w:val="left" w:pos="1134"/>
        <w:tab w:val="left" w:pos="1701"/>
        <w:tab w:val="right" w:pos="9072"/>
      </w:tabs>
      <w:spacing w:before="0" w:after="120" w:line="264" w:lineRule="auto"/>
    </w:pPr>
    <w:rPr>
      <w:rFonts w:ascii="Century Gothic" w:eastAsia="Times New Roman" w:hAnsi="Century Gothic" w:cs="Times New Roman"/>
      <w:sz w:val="20"/>
      <w:szCs w:val="20"/>
    </w:rPr>
  </w:style>
  <w:style w:type="character" w:customStyle="1" w:styleId="nada-body-bulletsChar">
    <w:name w:val="nada - body - bullets Char"/>
    <w:link w:val="nada-body-bullets"/>
    <w:rsid w:val="00375446"/>
    <w:rPr>
      <w:rFonts w:ascii="Century Gothic" w:eastAsia="Times New Roman" w:hAnsi="Century Gothic" w:cs="Times New Roman"/>
      <w:sz w:val="20"/>
      <w:szCs w:val="20"/>
    </w:rPr>
  </w:style>
  <w:style w:type="paragraph" w:customStyle="1" w:styleId="nada-subheading">
    <w:name w:val="nada - subheading"/>
    <w:basedOn w:val="Normal"/>
    <w:link w:val="nada-subheadingChar"/>
    <w:rsid w:val="00375446"/>
    <w:pPr>
      <w:tabs>
        <w:tab w:val="left" w:pos="1134"/>
        <w:tab w:val="left" w:pos="1701"/>
        <w:tab w:val="right" w:pos="9072"/>
      </w:tabs>
      <w:spacing w:before="0"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link w:val="nada-subheading"/>
    <w:rsid w:val="00375446"/>
    <w:rPr>
      <w:rFonts w:ascii="Century Gothic" w:eastAsia="Times New Roman" w:hAnsi="Century Gothic" w:cs="Times New Roman"/>
      <w:b/>
      <w:color w:val="800000"/>
      <w:sz w:val="28"/>
      <w:szCs w:val="20"/>
    </w:rPr>
  </w:style>
  <w:style w:type="paragraph" w:customStyle="1" w:styleId="nada-body">
    <w:name w:val="nada - body"/>
    <w:basedOn w:val="Normal"/>
    <w:link w:val="nada-bodyChar"/>
    <w:rsid w:val="00817DA2"/>
    <w:pPr>
      <w:tabs>
        <w:tab w:val="left" w:pos="1134"/>
        <w:tab w:val="left" w:pos="1701"/>
        <w:tab w:val="right" w:pos="9072"/>
      </w:tabs>
      <w:spacing w:before="0" w:after="120" w:line="264" w:lineRule="auto"/>
    </w:pPr>
    <w:rPr>
      <w:rFonts w:ascii="Century Gothic" w:eastAsia="Times New Roman" w:hAnsi="Century Gothic" w:cs="Times New Roman"/>
      <w:sz w:val="20"/>
      <w:szCs w:val="20"/>
    </w:rPr>
  </w:style>
  <w:style w:type="character" w:customStyle="1" w:styleId="nada-bodyChar">
    <w:name w:val="nada - body Char"/>
    <w:link w:val="nada-body"/>
    <w:rsid w:val="00817DA2"/>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ay\Documents\WORK\NADA\POLICY%20DOC%20DRAFTS\Governance%20&amp;%20Leadership\Supporting%20Documents\Consultant%20Contract%20Templat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9</cp:revision>
  <cp:lastPrinted>2020-07-07T00:58:00Z</cp:lastPrinted>
  <dcterms:created xsi:type="dcterms:W3CDTF">2019-02-28T21:48:00Z</dcterms:created>
  <dcterms:modified xsi:type="dcterms:W3CDTF">2020-07-07T00:58:00Z</dcterms:modified>
</cp:coreProperties>
</file>