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C071" w14:textId="77777777" w:rsidR="00BB5F65" w:rsidRDefault="00871A01" w:rsidP="003521C5">
      <w:pPr>
        <w:pStyle w:val="Title"/>
        <w:jc w:val="center"/>
      </w:pPr>
      <w:r>
        <w:t>P030</w:t>
      </w:r>
      <w:r w:rsidR="006625C5" w:rsidRPr="006625C5">
        <w:t xml:space="preserve"> - Emergency Policy (SES)</w:t>
      </w:r>
    </w:p>
    <w:p w14:paraId="321B9FBE"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2A31B66B"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68CC1D0E"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7983848A"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58095E6"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1036474" w14:textId="77777777" w:rsidR="001257FB" w:rsidRPr="001257FB" w:rsidRDefault="001257FB" w:rsidP="003521C5">
            <w:pPr>
              <w:pStyle w:val="FCNTable"/>
            </w:pPr>
            <w:r w:rsidRPr="001257FB">
              <w:t>Next review date</w:t>
            </w:r>
          </w:p>
        </w:tc>
      </w:tr>
      <w:tr w:rsidR="001257FB" w:rsidRPr="001257FB" w14:paraId="7F80A760"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502FFF83"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5C6A19DB" w14:textId="77777777" w:rsidR="001257FB" w:rsidRPr="001257FB" w:rsidRDefault="00F63C54" w:rsidP="003521C5">
            <w:pPr>
              <w:pStyle w:val="FCNTable"/>
            </w:pPr>
            <w:r>
              <w:t>01/09/2016</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6D6EDB85" w14:textId="77777777" w:rsidR="001257FB" w:rsidRPr="001257FB" w:rsidRDefault="001257FB"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08960128" w14:textId="77777777" w:rsidR="001257FB" w:rsidRDefault="001257FB" w:rsidP="003521C5">
            <w:pPr>
              <w:pStyle w:val="FCNTable"/>
            </w:pPr>
            <w:r w:rsidRPr="001257FB">
              <w:t>01/09/201</w:t>
            </w:r>
            <w:r w:rsidR="00727548">
              <w:t>9</w:t>
            </w:r>
          </w:p>
          <w:p w14:paraId="50E86BE9" w14:textId="5D9AEEF6" w:rsidR="00F3704C" w:rsidRPr="001257FB" w:rsidRDefault="00F3704C" w:rsidP="003521C5">
            <w:pPr>
              <w:pStyle w:val="FCNTable"/>
            </w:pPr>
            <w:r>
              <w:t>12/05/2022</w:t>
            </w:r>
          </w:p>
        </w:tc>
      </w:tr>
    </w:tbl>
    <w:p w14:paraId="05A216FF"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0E235750"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3658F7B3"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35289658"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7CD93DE6" w14:textId="77777777" w:rsidR="001257FB" w:rsidRPr="001257FB" w:rsidRDefault="001257FB" w:rsidP="003521C5">
            <w:pPr>
              <w:pStyle w:val="FCNTable"/>
            </w:pPr>
            <w:r w:rsidRPr="001257FB">
              <w:t>All staff</w:t>
            </w:r>
          </w:p>
        </w:tc>
      </w:tr>
    </w:tbl>
    <w:p w14:paraId="711C761F" w14:textId="77777777" w:rsidR="002267B6" w:rsidRDefault="002267B6" w:rsidP="002267B6">
      <w:pPr>
        <w:rPr>
          <w:lang w:eastAsia="en-AU"/>
        </w:rPr>
      </w:pPr>
    </w:p>
    <w:p w14:paraId="6BEC8064" w14:textId="77777777" w:rsidR="006625C5" w:rsidRPr="006625C5" w:rsidRDefault="006625C5" w:rsidP="006625C5">
      <w:pPr>
        <w:pStyle w:val="Heading1"/>
        <w:rPr>
          <w:lang w:val="en-US"/>
        </w:rPr>
      </w:pPr>
      <w:r w:rsidRPr="006625C5">
        <w:rPr>
          <w:lang w:val="en-US"/>
        </w:rPr>
        <w:t>PURPOSE</w:t>
      </w:r>
    </w:p>
    <w:p w14:paraId="6B06635A" w14:textId="77777777" w:rsidR="006625C5" w:rsidRPr="006625C5" w:rsidRDefault="006625C5" w:rsidP="006625C5">
      <w:pPr>
        <w:spacing w:before="0" w:after="160" w:line="259" w:lineRule="auto"/>
        <w:rPr>
          <w:bCs/>
          <w:iCs/>
        </w:rPr>
      </w:pPr>
      <w:r w:rsidRPr="006625C5">
        <w:rPr>
          <w:bCs/>
          <w:iCs/>
        </w:rPr>
        <w:t>This policy provides guidance to First Call Staff in managing emergency situations.</w:t>
      </w:r>
    </w:p>
    <w:p w14:paraId="6F1E6A9B" w14:textId="77777777" w:rsidR="006625C5" w:rsidRPr="006625C5" w:rsidRDefault="006625C5" w:rsidP="006625C5">
      <w:pPr>
        <w:pStyle w:val="Heading1"/>
        <w:rPr>
          <w:lang w:val="en-US"/>
        </w:rPr>
      </w:pPr>
      <w:r w:rsidRPr="006625C5">
        <w:rPr>
          <w:lang w:val="en-US"/>
        </w:rPr>
        <w:t>POLICY</w:t>
      </w:r>
    </w:p>
    <w:p w14:paraId="7CECA056" w14:textId="77777777" w:rsidR="006625C5" w:rsidRPr="006625C5" w:rsidRDefault="006625C5" w:rsidP="006625C5">
      <w:pPr>
        <w:spacing w:before="0" w:after="160" w:line="259" w:lineRule="auto"/>
        <w:rPr>
          <w:bCs/>
          <w:iCs/>
        </w:rPr>
      </w:pPr>
      <w:r w:rsidRPr="006625C5">
        <w:rPr>
          <w:bCs/>
          <w:iCs/>
        </w:rPr>
        <w:t xml:space="preserve">First Call Nursing has a responsibility to protect the health and safety of each staff member and stakeholder. First Call Nursing defines an emergency as an unplanned, sudden or unexpected event or situation that requires immediate action to prevent harm, injury or illness to persons or damage to First Call Nursing’s environment. </w:t>
      </w:r>
    </w:p>
    <w:p w14:paraId="1CCFEFF7" w14:textId="77777777" w:rsidR="006625C5" w:rsidRPr="006625C5" w:rsidRDefault="006625C5" w:rsidP="006625C5">
      <w:pPr>
        <w:spacing w:before="0" w:after="160" w:line="259" w:lineRule="auto"/>
        <w:rPr>
          <w:bCs/>
          <w:iCs/>
        </w:rPr>
      </w:pPr>
      <w:r w:rsidRPr="006625C5">
        <w:rPr>
          <w:bCs/>
          <w:iCs/>
        </w:rPr>
        <w:t xml:space="preserve">An emergency is a risk to an individual’s health and safety. It is important that First Call Nursing define emergencies that can happen in their environment. For example, services in rural bushland may develop emergency procedures relating to the threat of bushfires, which may be different to the fire evacuation procedures for an inner city service located in a high rise. </w:t>
      </w:r>
    </w:p>
    <w:p w14:paraId="70359FC8" w14:textId="77777777" w:rsidR="006625C5" w:rsidRPr="006625C5" w:rsidRDefault="006625C5" w:rsidP="006625C5">
      <w:pPr>
        <w:spacing w:before="0" w:after="160" w:line="259" w:lineRule="auto"/>
        <w:rPr>
          <w:bCs/>
          <w:iCs/>
        </w:rPr>
      </w:pPr>
      <w:r w:rsidRPr="006625C5">
        <w:rPr>
          <w:bCs/>
          <w:iCs/>
        </w:rPr>
        <w:t>The emergency events or situations to which the First Call Nursing Emergency Policy identifies and responds are:</w:t>
      </w:r>
    </w:p>
    <w:p w14:paraId="543FBFAE" w14:textId="77777777" w:rsidR="006625C5" w:rsidRPr="006625C5" w:rsidRDefault="006625C5" w:rsidP="006625C5">
      <w:pPr>
        <w:pStyle w:val="FCNBullet"/>
      </w:pPr>
      <w:r w:rsidRPr="006625C5">
        <w:t>Fires and/or bushfires</w:t>
      </w:r>
    </w:p>
    <w:p w14:paraId="2CA95226" w14:textId="77777777" w:rsidR="006625C5" w:rsidRPr="006625C5" w:rsidRDefault="006625C5" w:rsidP="006625C5">
      <w:pPr>
        <w:pStyle w:val="FCNBullet"/>
      </w:pPr>
      <w:r w:rsidRPr="006625C5">
        <w:t xml:space="preserve">Power failures </w:t>
      </w:r>
    </w:p>
    <w:p w14:paraId="76C150C5" w14:textId="77777777" w:rsidR="006625C5" w:rsidRPr="006625C5" w:rsidRDefault="006625C5" w:rsidP="006625C5">
      <w:pPr>
        <w:pStyle w:val="FCNBullet"/>
      </w:pPr>
      <w:r w:rsidRPr="006625C5">
        <w:t>Natural disasters, such as a flood, cyclone, thunderstorm or earthquake.</w:t>
      </w:r>
    </w:p>
    <w:p w14:paraId="71449504" w14:textId="77777777" w:rsidR="006625C5" w:rsidRPr="006625C5" w:rsidRDefault="006625C5" w:rsidP="006625C5">
      <w:pPr>
        <w:spacing w:before="0" w:after="160" w:line="259" w:lineRule="auto"/>
        <w:rPr>
          <w:bCs/>
          <w:iCs/>
        </w:rPr>
      </w:pPr>
      <w:r w:rsidRPr="006625C5">
        <w:rPr>
          <w:bCs/>
          <w:iCs/>
        </w:rPr>
        <w:t xml:space="preserve">In a disaster – emergency evacuation police and/or State Emergency Services (SES) personnel will go through the area on a megaphone explaining where, what and how to evacuate. </w:t>
      </w:r>
    </w:p>
    <w:p w14:paraId="6F15B99B" w14:textId="77777777" w:rsidR="006625C5" w:rsidRPr="006625C5" w:rsidRDefault="006625C5" w:rsidP="006625C5">
      <w:pPr>
        <w:pStyle w:val="FCNBullet"/>
      </w:pPr>
      <w:r w:rsidRPr="006625C5">
        <w:t>These instructions are to be followed by First Call Nursing Care Staff.</w:t>
      </w:r>
    </w:p>
    <w:p w14:paraId="2F7E5297" w14:textId="77777777" w:rsidR="006625C5" w:rsidRPr="006625C5" w:rsidRDefault="006625C5" w:rsidP="006625C5">
      <w:pPr>
        <w:pStyle w:val="FCNBullet"/>
      </w:pPr>
      <w:r w:rsidRPr="006625C5">
        <w:lastRenderedPageBreak/>
        <w:t>The local council will have all community owned halls and offices opened for evacuees.</w:t>
      </w:r>
    </w:p>
    <w:p w14:paraId="1C333842" w14:textId="77777777" w:rsidR="006625C5" w:rsidRDefault="006625C5" w:rsidP="006625C5">
      <w:pPr>
        <w:pStyle w:val="FCNBullet"/>
      </w:pPr>
      <w:r w:rsidRPr="006625C5">
        <w:t>Details are broadcast on all major radio stations</w:t>
      </w:r>
    </w:p>
    <w:p w14:paraId="740207CD" w14:textId="77777777" w:rsidR="001E1413" w:rsidRDefault="001E1413" w:rsidP="006625C5">
      <w:pPr>
        <w:pStyle w:val="FCNBullet"/>
      </w:pPr>
      <w:r>
        <w:t>702 ABC Sydney, 702 AM</w:t>
      </w:r>
    </w:p>
    <w:p w14:paraId="0CF23CC9" w14:textId="77777777" w:rsidR="001E1413" w:rsidRDefault="001E1413" w:rsidP="001E1413">
      <w:pPr>
        <w:pStyle w:val="FCNBullet"/>
        <w:numPr>
          <w:ilvl w:val="0"/>
          <w:numId w:val="0"/>
        </w:numPr>
        <w:ind w:left="794"/>
      </w:pPr>
      <w:r>
        <w:t>2CH, 1170 AM</w:t>
      </w:r>
    </w:p>
    <w:p w14:paraId="4412A17E" w14:textId="77777777" w:rsidR="001E1413" w:rsidRDefault="001E1413" w:rsidP="001E1413">
      <w:pPr>
        <w:pStyle w:val="FCNBullet"/>
        <w:numPr>
          <w:ilvl w:val="0"/>
          <w:numId w:val="0"/>
        </w:numPr>
        <w:ind w:left="794"/>
      </w:pPr>
      <w:r>
        <w:t>2Day FM, 104.1 FM</w:t>
      </w:r>
    </w:p>
    <w:p w14:paraId="19CA3AA3" w14:textId="77777777" w:rsidR="001E1413" w:rsidRDefault="001E1413" w:rsidP="001E1413">
      <w:pPr>
        <w:pStyle w:val="FCNBullet"/>
        <w:numPr>
          <w:ilvl w:val="0"/>
          <w:numId w:val="0"/>
        </w:numPr>
        <w:ind w:left="794"/>
      </w:pPr>
      <w:r>
        <w:t>2GB, 873 AM</w:t>
      </w:r>
    </w:p>
    <w:p w14:paraId="7E384D36" w14:textId="77777777" w:rsidR="001E1413" w:rsidRDefault="001E1413" w:rsidP="001E1413">
      <w:pPr>
        <w:pStyle w:val="FCNBullet"/>
        <w:numPr>
          <w:ilvl w:val="0"/>
          <w:numId w:val="0"/>
        </w:numPr>
        <w:ind w:left="794"/>
      </w:pPr>
      <w:r>
        <w:t>2ME, 1638 AM</w:t>
      </w:r>
    </w:p>
    <w:p w14:paraId="50F71431" w14:textId="77777777" w:rsidR="001E1413" w:rsidRDefault="001E1413" w:rsidP="001E1413">
      <w:pPr>
        <w:pStyle w:val="FCNBullet"/>
        <w:numPr>
          <w:ilvl w:val="0"/>
          <w:numId w:val="0"/>
        </w:numPr>
        <w:ind w:left="794"/>
      </w:pPr>
      <w:r>
        <w:t>2SM Gorilla, 1269 AM</w:t>
      </w:r>
    </w:p>
    <w:p w14:paraId="31CE7424" w14:textId="77777777" w:rsidR="001E1413" w:rsidRDefault="001E1413" w:rsidP="001E1413">
      <w:pPr>
        <w:pStyle w:val="FCNBullet"/>
        <w:numPr>
          <w:ilvl w:val="0"/>
          <w:numId w:val="0"/>
        </w:numPr>
        <w:ind w:left="794"/>
      </w:pPr>
      <w:r>
        <w:t>2UE, 954 AM</w:t>
      </w:r>
    </w:p>
    <w:p w14:paraId="584A68D6" w14:textId="77777777" w:rsidR="001E1413" w:rsidRDefault="001E1413" w:rsidP="001E1413">
      <w:pPr>
        <w:pStyle w:val="FCNBullet"/>
        <w:numPr>
          <w:ilvl w:val="0"/>
          <w:numId w:val="0"/>
        </w:numPr>
        <w:ind w:left="794"/>
      </w:pPr>
      <w:r>
        <w:t>C91.3 FM, 91.3 FM</w:t>
      </w:r>
    </w:p>
    <w:p w14:paraId="39A4B8D4" w14:textId="77777777" w:rsidR="001E1413" w:rsidRDefault="001E1413" w:rsidP="001E1413">
      <w:pPr>
        <w:pStyle w:val="FCNBullet"/>
        <w:numPr>
          <w:ilvl w:val="0"/>
          <w:numId w:val="0"/>
        </w:numPr>
        <w:ind w:left="794"/>
      </w:pPr>
      <w:r>
        <w:t>MIX 106.5, 106.5 FM</w:t>
      </w:r>
    </w:p>
    <w:p w14:paraId="7F5363BF" w14:textId="77777777" w:rsidR="001E1413" w:rsidRDefault="001E1413" w:rsidP="001E1413">
      <w:pPr>
        <w:pStyle w:val="FCNBullet"/>
        <w:numPr>
          <w:ilvl w:val="0"/>
          <w:numId w:val="0"/>
        </w:numPr>
        <w:ind w:left="794"/>
      </w:pPr>
      <w:r>
        <w:t>NOVA, 96.9 FM</w:t>
      </w:r>
    </w:p>
    <w:p w14:paraId="3D268236" w14:textId="77777777" w:rsidR="001E1413" w:rsidRDefault="001E1413" w:rsidP="001E1413">
      <w:pPr>
        <w:pStyle w:val="FCNBullet"/>
        <w:numPr>
          <w:ilvl w:val="0"/>
          <w:numId w:val="0"/>
        </w:numPr>
        <w:ind w:left="794"/>
      </w:pPr>
      <w:r>
        <w:t>RADIO 2Moro. 1620 AM</w:t>
      </w:r>
    </w:p>
    <w:p w14:paraId="095E13C8" w14:textId="77777777" w:rsidR="001E1413" w:rsidRDefault="001E1413" w:rsidP="001E1413">
      <w:pPr>
        <w:pStyle w:val="FCNBullet"/>
        <w:numPr>
          <w:ilvl w:val="0"/>
          <w:numId w:val="0"/>
        </w:numPr>
        <w:ind w:left="794"/>
      </w:pPr>
      <w:r>
        <w:t>RADIO 2RDJ, 88.1 FM</w:t>
      </w:r>
    </w:p>
    <w:p w14:paraId="7929A20A" w14:textId="77777777" w:rsidR="001E1413" w:rsidRDefault="001E1413" w:rsidP="001E1413">
      <w:pPr>
        <w:pStyle w:val="FCNBullet"/>
        <w:numPr>
          <w:ilvl w:val="0"/>
          <w:numId w:val="0"/>
        </w:numPr>
        <w:ind w:left="794"/>
      </w:pPr>
      <w:r>
        <w:t>SBS RADIO, 97.7 FM</w:t>
      </w:r>
    </w:p>
    <w:p w14:paraId="4D3A5749" w14:textId="77777777" w:rsidR="001E1413" w:rsidRDefault="001E1413" w:rsidP="001E1413">
      <w:pPr>
        <w:pStyle w:val="FCNBullet"/>
        <w:numPr>
          <w:ilvl w:val="0"/>
          <w:numId w:val="0"/>
        </w:numPr>
        <w:ind w:left="794"/>
      </w:pPr>
      <w:r>
        <w:t>SYDNEY’S 95.3, 95.3 FM</w:t>
      </w:r>
    </w:p>
    <w:p w14:paraId="52337CE3" w14:textId="77777777" w:rsidR="001E1413" w:rsidRDefault="001E1413" w:rsidP="001E1413">
      <w:pPr>
        <w:pStyle w:val="FCNBullet"/>
        <w:numPr>
          <w:ilvl w:val="0"/>
          <w:numId w:val="0"/>
        </w:numPr>
        <w:ind w:left="794"/>
      </w:pPr>
      <w:r>
        <w:t>TRIPLE M, 104.9 FM</w:t>
      </w:r>
    </w:p>
    <w:p w14:paraId="1C4AE37D" w14:textId="77777777" w:rsidR="001E1413" w:rsidRDefault="001E1413" w:rsidP="001E1413">
      <w:pPr>
        <w:pStyle w:val="FCNBullet"/>
        <w:numPr>
          <w:ilvl w:val="0"/>
          <w:numId w:val="0"/>
        </w:numPr>
        <w:ind w:left="794"/>
      </w:pPr>
    </w:p>
    <w:p w14:paraId="0005EFC8" w14:textId="77777777" w:rsidR="001E1413" w:rsidRDefault="001E1413" w:rsidP="001E1413">
      <w:pPr>
        <w:pStyle w:val="FCNBullet"/>
        <w:numPr>
          <w:ilvl w:val="0"/>
          <w:numId w:val="0"/>
        </w:numPr>
        <w:ind w:left="397"/>
        <w:rPr>
          <w:b/>
        </w:rPr>
      </w:pPr>
      <w:r w:rsidRPr="001E1413">
        <w:rPr>
          <w:b/>
        </w:rPr>
        <w:t>NSW State Emergency Service (NSW SES)</w:t>
      </w:r>
      <w:r>
        <w:t xml:space="preserve"> is responsible for the emergency management of floods, storms and tsunami in NSW</w:t>
      </w:r>
      <w:r w:rsidR="006E103C">
        <w:t xml:space="preserve">   Phone: </w:t>
      </w:r>
      <w:r w:rsidR="006E103C" w:rsidRPr="006E103C">
        <w:rPr>
          <w:b/>
        </w:rPr>
        <w:t>132 500</w:t>
      </w:r>
    </w:p>
    <w:p w14:paraId="7ECC7610" w14:textId="77777777" w:rsidR="006E103C" w:rsidRDefault="006E103C" w:rsidP="001E1413">
      <w:pPr>
        <w:pStyle w:val="FCNBullet"/>
        <w:numPr>
          <w:ilvl w:val="0"/>
          <w:numId w:val="0"/>
        </w:numPr>
        <w:ind w:left="397"/>
      </w:pPr>
    </w:p>
    <w:p w14:paraId="04DA3CAD" w14:textId="77777777" w:rsidR="001E1413" w:rsidRDefault="001E1413" w:rsidP="001E1413">
      <w:pPr>
        <w:pStyle w:val="FCNBullet"/>
        <w:numPr>
          <w:ilvl w:val="0"/>
          <w:numId w:val="0"/>
        </w:numPr>
        <w:ind w:left="397"/>
      </w:pPr>
      <w:r>
        <w:rPr>
          <w:b/>
        </w:rPr>
        <w:t xml:space="preserve">NSW Rural Fire Service (NSW RFS) </w:t>
      </w:r>
      <w:r w:rsidRPr="004A22DA">
        <w:t>is responsi</w:t>
      </w:r>
      <w:r w:rsidR="004A22DA">
        <w:t>ble for the emergency management of bushfires in NSW.</w:t>
      </w:r>
    </w:p>
    <w:p w14:paraId="435679A9" w14:textId="77777777" w:rsidR="006E103C" w:rsidRDefault="006E103C" w:rsidP="001E1413">
      <w:pPr>
        <w:pStyle w:val="FCNBullet"/>
        <w:numPr>
          <w:ilvl w:val="0"/>
          <w:numId w:val="0"/>
        </w:numPr>
        <w:ind w:left="397"/>
      </w:pPr>
    </w:p>
    <w:p w14:paraId="678626CD" w14:textId="77777777" w:rsidR="004A22DA" w:rsidRPr="004A22DA" w:rsidRDefault="004A22DA" w:rsidP="001E1413">
      <w:pPr>
        <w:pStyle w:val="FCNBullet"/>
        <w:numPr>
          <w:ilvl w:val="0"/>
          <w:numId w:val="0"/>
        </w:numPr>
        <w:ind w:left="397"/>
      </w:pPr>
      <w:r>
        <w:rPr>
          <w:b/>
        </w:rPr>
        <w:t xml:space="preserve">Fire and Rescue NSW (FRNSW) </w:t>
      </w:r>
      <w:r>
        <w:t>is responsible for the emergency management of house fires and HAZMAT within NSW</w:t>
      </w:r>
    </w:p>
    <w:p w14:paraId="208B8195" w14:textId="77777777" w:rsidR="001E1413" w:rsidRDefault="001E1413" w:rsidP="001E1413">
      <w:pPr>
        <w:pStyle w:val="FCNBullet"/>
        <w:numPr>
          <w:ilvl w:val="0"/>
          <w:numId w:val="0"/>
        </w:numPr>
        <w:ind w:left="794"/>
      </w:pPr>
    </w:p>
    <w:p w14:paraId="22F6F551" w14:textId="77777777" w:rsidR="006625C5" w:rsidRDefault="006625C5" w:rsidP="00094FE8">
      <w:pPr>
        <w:pStyle w:val="FCNBullet"/>
        <w:numPr>
          <w:ilvl w:val="0"/>
          <w:numId w:val="0"/>
        </w:numPr>
        <w:ind w:left="794" w:hanging="397"/>
        <w:rPr>
          <w:b/>
          <w:bCs/>
          <w:iCs/>
        </w:rPr>
      </w:pPr>
      <w:r w:rsidRPr="004A22DA">
        <w:rPr>
          <w:b/>
          <w:bCs/>
          <w:iCs/>
        </w:rPr>
        <w:t xml:space="preserve">Recommendations </w:t>
      </w:r>
      <w:r w:rsidR="004A22DA">
        <w:rPr>
          <w:b/>
          <w:bCs/>
          <w:iCs/>
        </w:rPr>
        <w:t>for Care Recipients</w:t>
      </w:r>
    </w:p>
    <w:p w14:paraId="772DE323" w14:textId="77777777" w:rsidR="004A22DA" w:rsidRDefault="00094FE8" w:rsidP="004A22DA">
      <w:pPr>
        <w:pStyle w:val="FCNBullet"/>
        <w:numPr>
          <w:ilvl w:val="0"/>
          <w:numId w:val="0"/>
        </w:numPr>
        <w:ind w:left="794" w:hanging="397"/>
        <w:rPr>
          <w:bCs/>
          <w:iCs/>
        </w:rPr>
      </w:pPr>
      <w:r>
        <w:rPr>
          <w:bCs/>
          <w:iCs/>
        </w:rPr>
        <w:t xml:space="preserve">       </w:t>
      </w:r>
      <w:r w:rsidR="004A22DA">
        <w:rPr>
          <w:bCs/>
          <w:iCs/>
        </w:rPr>
        <w:t>An emergency Kit can help save precious time in an emergency. It p</w:t>
      </w:r>
      <w:r>
        <w:rPr>
          <w:bCs/>
          <w:iCs/>
        </w:rPr>
        <w:t xml:space="preserve">rovides items you might need if </w:t>
      </w:r>
      <w:r w:rsidR="004A22DA">
        <w:rPr>
          <w:bCs/>
          <w:iCs/>
        </w:rPr>
        <w:t xml:space="preserve">you lose power or need to leave your home in a hurry. </w:t>
      </w:r>
    </w:p>
    <w:p w14:paraId="366FB731" w14:textId="77777777" w:rsidR="004A22DA" w:rsidRPr="004A22DA" w:rsidRDefault="004A22DA" w:rsidP="004A22DA">
      <w:pPr>
        <w:pStyle w:val="FCNBullet"/>
        <w:numPr>
          <w:ilvl w:val="0"/>
          <w:numId w:val="0"/>
        </w:numPr>
        <w:ind w:left="794" w:hanging="397"/>
        <w:rPr>
          <w:bCs/>
          <w:iCs/>
        </w:rPr>
      </w:pPr>
      <w:r>
        <w:rPr>
          <w:bCs/>
          <w:iCs/>
        </w:rPr>
        <w:t>The emergency kit contents:</w:t>
      </w:r>
    </w:p>
    <w:p w14:paraId="76D3A7D7" w14:textId="77777777" w:rsidR="006625C5" w:rsidRPr="006625C5" w:rsidRDefault="005F698B" w:rsidP="006625C5">
      <w:pPr>
        <w:pStyle w:val="FCNBullet"/>
      </w:pPr>
      <w:r>
        <w:t>Portable radio with spare batteries.</w:t>
      </w:r>
    </w:p>
    <w:p w14:paraId="30DAE987" w14:textId="0FB60C47" w:rsidR="006625C5" w:rsidRPr="006625C5" w:rsidRDefault="006625C5" w:rsidP="006625C5">
      <w:pPr>
        <w:pStyle w:val="FCNBullet"/>
      </w:pPr>
      <w:r w:rsidRPr="006625C5">
        <w:t xml:space="preserve">Dial-up </w:t>
      </w:r>
      <w:r w:rsidR="00400DD0" w:rsidRPr="006625C5">
        <w:t>telephone</w:t>
      </w:r>
      <w:r w:rsidR="00400DD0">
        <w:t>. (</w:t>
      </w:r>
      <w:r w:rsidR="004A22DA">
        <w:t xml:space="preserve"> In case of power outage.)</w:t>
      </w:r>
    </w:p>
    <w:p w14:paraId="593DB4C9" w14:textId="77777777" w:rsidR="006625C5" w:rsidRPr="006625C5" w:rsidRDefault="005F698B" w:rsidP="006625C5">
      <w:pPr>
        <w:pStyle w:val="FCNBullet"/>
      </w:pPr>
      <w:r>
        <w:t xml:space="preserve">Torch with spare batteries </w:t>
      </w:r>
      <w:r w:rsidR="006625C5" w:rsidRPr="006625C5">
        <w:t>or</w:t>
      </w:r>
      <w:r>
        <w:t xml:space="preserve"> a </w:t>
      </w:r>
      <w:r w:rsidR="006625C5" w:rsidRPr="006625C5">
        <w:t>wind</w:t>
      </w:r>
      <w:r>
        <w:t>-</w:t>
      </w:r>
      <w:r w:rsidR="006625C5" w:rsidRPr="006625C5">
        <w:t>up torch</w:t>
      </w:r>
      <w:r>
        <w:t>.</w:t>
      </w:r>
    </w:p>
    <w:p w14:paraId="2F4D6D92" w14:textId="77777777" w:rsidR="006625C5" w:rsidRDefault="006625C5" w:rsidP="006625C5">
      <w:pPr>
        <w:pStyle w:val="FCNBullet"/>
      </w:pPr>
      <w:r w:rsidRPr="006625C5">
        <w:t xml:space="preserve">Candles </w:t>
      </w:r>
      <w:r w:rsidR="005F698B">
        <w:t>(</w:t>
      </w:r>
      <w:r w:rsidRPr="006625C5">
        <w:t>in the case of power failure</w:t>
      </w:r>
      <w:r w:rsidR="005F698B">
        <w:t>) with waterproof matches.</w:t>
      </w:r>
    </w:p>
    <w:p w14:paraId="487138C1" w14:textId="77777777" w:rsidR="005F698B" w:rsidRDefault="005F698B" w:rsidP="006625C5">
      <w:pPr>
        <w:pStyle w:val="FCNBullet"/>
      </w:pPr>
      <w:r>
        <w:t>Copy of important papers including emergency contact numbers</w:t>
      </w:r>
    </w:p>
    <w:p w14:paraId="3A9B1F3A" w14:textId="77777777" w:rsidR="004A22DA" w:rsidRDefault="004A22DA" w:rsidP="006625C5">
      <w:pPr>
        <w:pStyle w:val="FCNBullet"/>
      </w:pPr>
      <w:r>
        <w:t>Waterproof bag for valuables.</w:t>
      </w:r>
    </w:p>
    <w:p w14:paraId="6C09C91D" w14:textId="77777777" w:rsidR="004A22DA" w:rsidRDefault="004A22DA" w:rsidP="006625C5">
      <w:pPr>
        <w:pStyle w:val="FCNBullet"/>
      </w:pPr>
      <w:r>
        <w:lastRenderedPageBreak/>
        <w:t>Copy of your Home Emergency Plans.</w:t>
      </w:r>
    </w:p>
    <w:p w14:paraId="4E753D98" w14:textId="77777777" w:rsidR="004A22DA" w:rsidRDefault="004A22DA" w:rsidP="004A22DA">
      <w:pPr>
        <w:pStyle w:val="FCNBullet"/>
        <w:numPr>
          <w:ilvl w:val="0"/>
          <w:numId w:val="0"/>
        </w:numPr>
        <w:ind w:left="794"/>
      </w:pPr>
    </w:p>
    <w:p w14:paraId="02C8C4F7" w14:textId="77777777" w:rsidR="005F698B" w:rsidRDefault="005F698B" w:rsidP="005F698B">
      <w:pPr>
        <w:pStyle w:val="FCNBullet"/>
        <w:numPr>
          <w:ilvl w:val="0"/>
          <w:numId w:val="0"/>
        </w:numPr>
      </w:pPr>
      <w:r>
        <w:t xml:space="preserve"> When leaving or evacuating your home, place </w:t>
      </w:r>
      <w:r w:rsidR="004A22DA">
        <w:t xml:space="preserve">you’re the </w:t>
      </w:r>
      <w:r>
        <w:t>emergency kit</w:t>
      </w:r>
      <w:r w:rsidR="004A22DA">
        <w:t>:</w:t>
      </w:r>
    </w:p>
    <w:p w14:paraId="6B38FBEA" w14:textId="77777777" w:rsidR="004A22DA" w:rsidRDefault="004A22DA" w:rsidP="004A22DA">
      <w:pPr>
        <w:pStyle w:val="FCNBullet"/>
      </w:pPr>
      <w:r>
        <w:t>A good supply of required medications.</w:t>
      </w:r>
    </w:p>
    <w:p w14:paraId="04252518" w14:textId="77777777" w:rsidR="004A22DA" w:rsidRDefault="004A22DA" w:rsidP="004A22DA">
      <w:pPr>
        <w:pStyle w:val="FCNBullet"/>
      </w:pPr>
      <w:r>
        <w:t>Any special requirements and supplies for babies, the disabled, infirm and/or elderly and seeing eye dogs.</w:t>
      </w:r>
    </w:p>
    <w:p w14:paraId="200CAF1C" w14:textId="77777777" w:rsidR="004A22DA" w:rsidRDefault="004A22DA" w:rsidP="004A22DA">
      <w:pPr>
        <w:pStyle w:val="FCNBullet"/>
      </w:pPr>
      <w:r>
        <w:t>Appropriate clothing and footwear.</w:t>
      </w:r>
    </w:p>
    <w:p w14:paraId="21A69127" w14:textId="77777777" w:rsidR="004A22DA" w:rsidRDefault="004A22DA" w:rsidP="004A22DA">
      <w:pPr>
        <w:pStyle w:val="FCNBullet"/>
      </w:pPr>
      <w:r>
        <w:t>Fresh food and drinking water.</w:t>
      </w:r>
    </w:p>
    <w:p w14:paraId="0E1B3FB1" w14:textId="77777777" w:rsidR="006E103C" w:rsidRDefault="006E103C" w:rsidP="006E103C">
      <w:pPr>
        <w:pStyle w:val="FCNBullet"/>
        <w:numPr>
          <w:ilvl w:val="0"/>
          <w:numId w:val="0"/>
        </w:numPr>
        <w:ind w:left="794" w:hanging="397"/>
      </w:pPr>
      <w:r>
        <w:t xml:space="preserve"> Keep your emergency kit in a waterproof storage container.</w:t>
      </w:r>
    </w:p>
    <w:p w14:paraId="46671775" w14:textId="17496A76" w:rsidR="006E103C" w:rsidRDefault="006E103C" w:rsidP="006E103C">
      <w:pPr>
        <w:pStyle w:val="FCNBullet"/>
        <w:numPr>
          <w:ilvl w:val="0"/>
          <w:numId w:val="0"/>
        </w:numPr>
        <w:ind w:left="794" w:hanging="397"/>
      </w:pPr>
      <w:r>
        <w:t xml:space="preserve">On a regular basis check your emergency kit (remembering to check use by dates on batteries and gloves) and restock items </w:t>
      </w:r>
      <w:r w:rsidR="00F3704C">
        <w:t>regularly</w:t>
      </w:r>
      <w:r>
        <w:t>.</w:t>
      </w:r>
    </w:p>
    <w:p w14:paraId="7BFBB925" w14:textId="77777777" w:rsidR="006E103C" w:rsidRDefault="006E103C" w:rsidP="006E103C">
      <w:pPr>
        <w:pStyle w:val="FCNBullet"/>
        <w:numPr>
          <w:ilvl w:val="0"/>
          <w:numId w:val="0"/>
        </w:numPr>
        <w:ind w:left="794" w:hanging="397"/>
      </w:pPr>
      <w:r>
        <w:t>Also keep of emergency numbers near your phone or on your fridge</w:t>
      </w:r>
    </w:p>
    <w:p w14:paraId="02FAB1E3" w14:textId="77777777" w:rsidR="004A22DA" w:rsidRPr="006625C5" w:rsidRDefault="004A22DA" w:rsidP="004A22DA">
      <w:pPr>
        <w:pStyle w:val="FCNBullet"/>
        <w:numPr>
          <w:ilvl w:val="0"/>
          <w:numId w:val="0"/>
        </w:numPr>
        <w:ind w:left="720"/>
      </w:pPr>
    </w:p>
    <w:p w14:paraId="6687053D" w14:textId="77777777" w:rsidR="00DB5095" w:rsidRPr="003521C5" w:rsidRDefault="00DB5095" w:rsidP="003521C5"/>
    <w:sectPr w:rsidR="00DB5095" w:rsidRPr="003521C5" w:rsidSect="006625C5">
      <w:headerReference w:type="default" r:id="rId7"/>
      <w:footerReference w:type="default" r:id="rId8"/>
      <w:headerReference w:type="first" r:id="rId9"/>
      <w:footerReference w:type="first" r:id="rId10"/>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9AAE" w14:textId="77777777" w:rsidR="00DB5095" w:rsidRDefault="00DB5095" w:rsidP="003521C5">
      <w:r>
        <w:separator/>
      </w:r>
    </w:p>
  </w:endnote>
  <w:endnote w:type="continuationSeparator" w:id="0">
    <w:p w14:paraId="373F3E9A"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A032" w14:textId="77777777" w:rsidR="006625C5" w:rsidRPr="0091115D" w:rsidRDefault="006625C5" w:rsidP="006625C5">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094FE8">
      <w:rPr>
        <w:noProof/>
        <w:sz w:val="18"/>
        <w:szCs w:val="18"/>
      </w:rPr>
      <w:t>3</w:t>
    </w:r>
    <w:r w:rsidRPr="0091115D">
      <w:rPr>
        <w:noProof/>
        <w:sz w:val="18"/>
        <w:szCs w:val="18"/>
      </w:rPr>
      <w:fldChar w:fldCharType="end"/>
    </w:r>
  </w:p>
  <w:p w14:paraId="48C78E2F" w14:textId="075DA37A" w:rsidR="006625C5" w:rsidRPr="006625C5" w:rsidRDefault="006625C5" w:rsidP="006625C5">
    <w:pPr>
      <w:pStyle w:val="Footer"/>
      <w:tabs>
        <w:tab w:val="clear" w:pos="4513"/>
        <w:tab w:val="clear" w:pos="9026"/>
        <w:tab w:val="right" w:pos="10204"/>
      </w:tabs>
      <w:rPr>
        <w:sz w:val="18"/>
        <w:szCs w:val="18"/>
      </w:rPr>
    </w:pPr>
    <w:r w:rsidRPr="0091115D">
      <w:rPr>
        <w:sz w:val="18"/>
        <w:szCs w:val="18"/>
      </w:rPr>
      <w:tab/>
      <w:t>Updated October 201</w:t>
    </w:r>
    <w:r w:rsidR="00727548">
      <w:rPr>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03F1" w14:textId="77777777" w:rsidR="006625C5" w:rsidRPr="00B85C1A" w:rsidRDefault="006625C5" w:rsidP="006625C5">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p>
  <w:p w14:paraId="48B2FD9B" w14:textId="77777777" w:rsidR="006625C5" w:rsidRDefault="0066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619AA" w14:textId="77777777" w:rsidR="00DB5095" w:rsidRDefault="00DB5095" w:rsidP="003521C5">
      <w:r>
        <w:separator/>
      </w:r>
    </w:p>
  </w:footnote>
  <w:footnote w:type="continuationSeparator" w:id="0">
    <w:p w14:paraId="2F20A85D"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6616" w14:textId="77777777" w:rsidR="006625C5" w:rsidRDefault="006625C5" w:rsidP="006625C5">
    <w:pPr>
      <w:pStyle w:val="Subtitle"/>
    </w:pPr>
    <w:r w:rsidRPr="000519CF">
      <w:t>P03</w:t>
    </w:r>
    <w:r>
      <w:t>5</w:t>
    </w:r>
    <w:r w:rsidRPr="000519CF">
      <w:t xml:space="preserve"> </w:t>
    </w:r>
    <w:r>
      <w:t>–</w:t>
    </w:r>
    <w:r w:rsidRPr="000519CF">
      <w:t xml:space="preserve"> </w:t>
    </w:r>
    <w:r>
      <w:t>Emergency Policy (SES)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6D22A" w14:textId="77777777" w:rsidR="00135C7C" w:rsidRDefault="00135C7C" w:rsidP="003521C5">
    <w:pPr>
      <w:pStyle w:val="Header"/>
    </w:pPr>
    <w:r w:rsidRPr="00546FEE">
      <w:rPr>
        <w:noProof/>
        <w:lang w:eastAsia="en-AU"/>
      </w:rPr>
      <w:drawing>
        <wp:inline distT="0" distB="0" distL="0" distR="0" wp14:anchorId="4E907622" wp14:editId="1710D7B0">
          <wp:extent cx="3006195" cy="1114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826BE7"/>
    <w:multiLevelType w:val="hybridMultilevel"/>
    <w:tmpl w:val="85C6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2676D5"/>
    <w:multiLevelType w:val="hybridMultilevel"/>
    <w:tmpl w:val="259E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BE39D7"/>
    <w:multiLevelType w:val="hybridMultilevel"/>
    <w:tmpl w:val="741C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82C5BE2"/>
    <w:multiLevelType w:val="hybridMultilevel"/>
    <w:tmpl w:val="BC08F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94FE8"/>
    <w:rsid w:val="001257FB"/>
    <w:rsid w:val="00135C7C"/>
    <w:rsid w:val="001E1413"/>
    <w:rsid w:val="001F3A90"/>
    <w:rsid w:val="002267B6"/>
    <w:rsid w:val="002D4C7D"/>
    <w:rsid w:val="003521C5"/>
    <w:rsid w:val="00400DD0"/>
    <w:rsid w:val="004A22DA"/>
    <w:rsid w:val="004F7999"/>
    <w:rsid w:val="005F698B"/>
    <w:rsid w:val="006625C5"/>
    <w:rsid w:val="006A6E56"/>
    <w:rsid w:val="006E103C"/>
    <w:rsid w:val="00727548"/>
    <w:rsid w:val="00871A01"/>
    <w:rsid w:val="008A5EE3"/>
    <w:rsid w:val="0091115D"/>
    <w:rsid w:val="00AD0EA8"/>
    <w:rsid w:val="00B427B0"/>
    <w:rsid w:val="00CC3789"/>
    <w:rsid w:val="00D3662A"/>
    <w:rsid w:val="00DB5095"/>
    <w:rsid w:val="00F13503"/>
    <w:rsid w:val="00F3704C"/>
    <w:rsid w:val="00F63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CC8D6A"/>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BalloonText">
    <w:name w:val="Balloon Text"/>
    <w:basedOn w:val="Normal"/>
    <w:link w:val="BalloonTextChar"/>
    <w:uiPriority w:val="99"/>
    <w:semiHidden/>
    <w:unhideWhenUsed/>
    <w:rsid w:val="00094F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4</cp:revision>
  <cp:lastPrinted>2017-06-21T05:46:00Z</cp:lastPrinted>
  <dcterms:created xsi:type="dcterms:W3CDTF">2018-03-15T03:24:00Z</dcterms:created>
  <dcterms:modified xsi:type="dcterms:W3CDTF">2020-07-20T05:50:00Z</dcterms:modified>
</cp:coreProperties>
</file>